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F9" w:rsidRDefault="007954F9">
      <w:pPr>
        <w:tabs>
          <w:tab w:val="right" w:pos="7938"/>
        </w:tabs>
        <w:rPr>
          <w:rFonts w:ascii="Arial" w:hAnsi="Arial"/>
          <w:sz w:val="32"/>
        </w:rPr>
      </w:pPr>
      <w:r>
        <w:rPr>
          <w:rFonts w:ascii="Arial" w:hAnsi="Arial"/>
          <w:b/>
          <w:sz w:val="32"/>
        </w:rPr>
        <w:t>Deutscher Bundestag</w:t>
      </w:r>
      <w:r>
        <w:tab/>
      </w:r>
    </w:p>
    <w:p w:rsidR="007954F9" w:rsidRDefault="00050F39">
      <w:pPr>
        <w:tabs>
          <w:tab w:val="right" w:pos="7938"/>
        </w:tabs>
        <w:rPr>
          <w:rFonts w:ascii="Arial" w:hAnsi="Arial"/>
          <w:b/>
          <w:sz w:val="24"/>
        </w:rPr>
      </w:pPr>
      <w:r>
        <w:rPr>
          <w:rFonts w:ascii="Arial" w:hAnsi="Arial"/>
          <w:b/>
          <w:sz w:val="24"/>
        </w:rPr>
        <w:t>18</w:t>
      </w:r>
      <w:r w:rsidR="007954F9">
        <w:rPr>
          <w:rFonts w:ascii="Arial" w:hAnsi="Arial"/>
          <w:b/>
          <w:sz w:val="24"/>
        </w:rPr>
        <w:t>. Wahlperiode</w:t>
      </w:r>
    </w:p>
    <w:p w:rsidR="007954F9" w:rsidRDefault="00471303">
      <w:pPr>
        <w:tabs>
          <w:tab w:val="right" w:pos="7938"/>
        </w:tabs>
      </w:pPr>
      <w:r>
        <w:rPr>
          <w:noProof/>
        </w:rPr>
        <mc:AlternateContent>
          <mc:Choice Requires="wps">
            <w:drawing>
              <wp:anchor distT="0" distB="0" distL="114300" distR="114300" simplePos="0" relativeHeight="251657728" behindDoc="0" locked="0" layoutInCell="1" allowOverlap="1">
                <wp:simplePos x="0" y="0"/>
                <wp:positionH relativeFrom="column">
                  <wp:posOffset>3723005</wp:posOffset>
                </wp:positionH>
                <wp:positionV relativeFrom="paragraph">
                  <wp:posOffset>-97790</wp:posOffset>
                </wp:positionV>
                <wp:extent cx="2465705" cy="539750"/>
                <wp:effectExtent l="13335" t="12065" r="698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39750"/>
                        </a:xfrm>
                        <a:prstGeom prst="rect">
                          <a:avLst/>
                        </a:prstGeom>
                        <a:solidFill>
                          <a:srgbClr val="FFFFFF"/>
                        </a:solidFill>
                        <a:ln w="9525">
                          <a:solidFill>
                            <a:srgbClr val="000000"/>
                          </a:solidFill>
                          <a:miter lim="800000"/>
                          <a:headEnd/>
                          <a:tailEnd/>
                        </a:ln>
                      </wps:spPr>
                      <wps:txbx>
                        <w:txbxContent>
                          <w:p w:rsidR="00E24BC0" w:rsidRPr="00B87CBE" w:rsidRDefault="00E24BC0" w:rsidP="00B87CBE">
                            <w:pPr>
                              <w:shd w:val="clear" w:color="auto" w:fill="E6E6E6"/>
                              <w:jc w:val="center"/>
                              <w:rPr>
                                <w:rFonts w:ascii="Arial" w:hAnsi="Arial" w:cs="Arial"/>
                                <w:b/>
                                <w:sz w:val="24"/>
                                <w:szCs w:val="24"/>
                              </w:rPr>
                            </w:pPr>
                            <w:r w:rsidRPr="00B87CBE">
                              <w:rPr>
                                <w:rFonts w:ascii="Arial" w:hAnsi="Arial" w:cs="Arial"/>
                                <w:b/>
                                <w:sz w:val="24"/>
                                <w:szCs w:val="24"/>
                              </w:rPr>
                              <w:t>Innenausschuss</w:t>
                            </w:r>
                          </w:p>
                          <w:p w:rsidR="00E24BC0" w:rsidRPr="00B87CBE" w:rsidRDefault="00E24BC0" w:rsidP="00B87CBE">
                            <w:pPr>
                              <w:shd w:val="clear" w:color="auto" w:fill="E6E6E6"/>
                              <w:jc w:val="center"/>
                              <w:rPr>
                                <w:rFonts w:ascii="Arial" w:hAnsi="Arial" w:cs="Arial"/>
                                <w:b/>
                                <w:sz w:val="24"/>
                                <w:szCs w:val="24"/>
                              </w:rPr>
                            </w:pPr>
                            <w:r w:rsidRPr="00B87CBE">
                              <w:rPr>
                                <w:rFonts w:ascii="Arial" w:hAnsi="Arial" w:cs="Arial"/>
                                <w:b/>
                                <w:sz w:val="24"/>
                                <w:szCs w:val="24"/>
                              </w:rPr>
                              <w:t>A-Drs. 1</w:t>
                            </w:r>
                            <w:r>
                              <w:rPr>
                                <w:rFonts w:ascii="Arial" w:hAnsi="Arial" w:cs="Arial"/>
                                <w:b/>
                                <w:sz w:val="24"/>
                                <w:szCs w:val="24"/>
                              </w:rPr>
                              <w:t>8</w:t>
                            </w:r>
                            <w:r w:rsidRPr="00B87CBE">
                              <w:rPr>
                                <w:rFonts w:ascii="Arial" w:hAnsi="Arial" w:cs="Arial"/>
                                <w:b/>
                                <w:sz w:val="24"/>
                                <w:szCs w:val="24"/>
                              </w:rPr>
                              <w:t>(4)</w:t>
                            </w:r>
                            <w:r>
                              <w:rPr>
                                <w:rFonts w:ascii="Arial" w:hAnsi="Arial" w:cs="Arial"/>
                                <w:b/>
                                <w:sz w:val="24"/>
                                <w:szCs w:val="24"/>
                              </w:rPr>
                              <w:t xml:space="preserve"> </w:t>
                            </w:r>
                            <w:r w:rsidR="00D824FE">
                              <w:rPr>
                                <w:rFonts w:ascii="Arial" w:hAnsi="Arial" w:cs="Arial"/>
                                <w:b/>
                                <w:sz w:val="24"/>
                                <w:szCs w:val="24"/>
                              </w:rPr>
                              <w:t>657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15pt;margin-top:-7.7pt;width:194.1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">
                <v:textbox>
                  <w:txbxContent>
                    <w:p w:rsidR="00E24BC0" w:rsidRPr="00B87CBE" w:rsidRDefault="00E24BC0" w:rsidP="00B87CBE">
                      <w:pPr>
                        <w:shd w:val="clear" w:color="auto" w:fill="E6E6E6"/>
                        <w:jc w:val="center"/>
                        <w:rPr>
                          <w:rFonts w:ascii="Arial" w:hAnsi="Arial" w:cs="Arial"/>
                          <w:b/>
                          <w:sz w:val="24"/>
                          <w:szCs w:val="24"/>
                        </w:rPr>
                      </w:pPr>
                      <w:r w:rsidRPr="00B87CBE">
                        <w:rPr>
                          <w:rFonts w:ascii="Arial" w:hAnsi="Arial" w:cs="Arial"/>
                          <w:b/>
                          <w:sz w:val="24"/>
                          <w:szCs w:val="24"/>
                        </w:rPr>
                        <w:t>Innenausschuss</w:t>
                      </w:r>
                    </w:p>
                    <w:p w:rsidR="00E24BC0" w:rsidRPr="00B87CBE" w:rsidRDefault="00E24BC0" w:rsidP="00B87CBE">
                      <w:pPr>
                        <w:shd w:val="clear" w:color="auto" w:fill="E6E6E6"/>
                        <w:jc w:val="center"/>
                        <w:rPr>
                          <w:rFonts w:ascii="Arial" w:hAnsi="Arial" w:cs="Arial"/>
                          <w:b/>
                          <w:sz w:val="24"/>
                          <w:szCs w:val="24"/>
                        </w:rPr>
                      </w:pPr>
                      <w:r w:rsidRPr="00B87CBE">
                        <w:rPr>
                          <w:rFonts w:ascii="Arial" w:hAnsi="Arial" w:cs="Arial"/>
                          <w:b/>
                          <w:sz w:val="24"/>
                          <w:szCs w:val="24"/>
                        </w:rPr>
                        <w:t>A-Drs. 1</w:t>
                      </w:r>
                      <w:r>
                        <w:rPr>
                          <w:rFonts w:ascii="Arial" w:hAnsi="Arial" w:cs="Arial"/>
                          <w:b/>
                          <w:sz w:val="24"/>
                          <w:szCs w:val="24"/>
                        </w:rPr>
                        <w:t>8</w:t>
                      </w:r>
                      <w:r w:rsidRPr="00B87CBE">
                        <w:rPr>
                          <w:rFonts w:ascii="Arial" w:hAnsi="Arial" w:cs="Arial"/>
                          <w:b/>
                          <w:sz w:val="24"/>
                          <w:szCs w:val="24"/>
                        </w:rPr>
                        <w:t>(4)</w:t>
                      </w:r>
                      <w:r>
                        <w:rPr>
                          <w:rFonts w:ascii="Arial" w:hAnsi="Arial" w:cs="Arial"/>
                          <w:b/>
                          <w:sz w:val="24"/>
                          <w:szCs w:val="24"/>
                        </w:rPr>
                        <w:t xml:space="preserve"> </w:t>
                      </w:r>
                      <w:r w:rsidR="00D824FE">
                        <w:rPr>
                          <w:rFonts w:ascii="Arial" w:hAnsi="Arial" w:cs="Arial"/>
                          <w:b/>
                          <w:sz w:val="24"/>
                          <w:szCs w:val="24"/>
                        </w:rPr>
                        <w:t>657 F</w:t>
                      </w:r>
                    </w:p>
                  </w:txbxContent>
                </v:textbox>
              </v:shape>
            </w:pict>
          </mc:Fallback>
        </mc:AlternateContent>
      </w:r>
    </w:p>
    <w:p w:rsidR="007954F9" w:rsidRDefault="007954F9">
      <w:pPr>
        <w:tabs>
          <w:tab w:val="right" w:pos="7938"/>
        </w:tabs>
      </w:pPr>
    </w:p>
    <w:p w:rsidR="007954F9" w:rsidRDefault="007954F9">
      <w:pPr>
        <w:tabs>
          <w:tab w:val="right" w:pos="7938"/>
        </w:tabs>
      </w:pPr>
    </w:p>
    <w:p w:rsidR="007954F9" w:rsidRDefault="007954F9">
      <w:pPr>
        <w:tabs>
          <w:tab w:val="right" w:pos="7938"/>
        </w:tabs>
      </w:pPr>
    </w:p>
    <w:p w:rsidR="007954F9" w:rsidRDefault="007954F9">
      <w:pPr>
        <w:tabs>
          <w:tab w:val="right" w:pos="7938"/>
        </w:tabs>
      </w:pPr>
      <w:bookmarkStart w:id="0" w:name="_GoBack"/>
      <w:bookmarkEnd w:id="0"/>
    </w:p>
    <w:p w:rsidR="007954F9" w:rsidRDefault="007954F9">
      <w:r>
        <w:rPr>
          <w:rFonts w:ascii="Arial" w:hAnsi="Arial"/>
          <w:b/>
          <w:sz w:val="32"/>
        </w:rPr>
        <w:t>Änderungsantrag</w:t>
      </w:r>
    </w:p>
    <w:p w:rsidR="007954F9" w:rsidRDefault="007954F9">
      <w:pPr>
        <w:tabs>
          <w:tab w:val="right" w:pos="7938"/>
        </w:tabs>
        <w:rPr>
          <w:rFonts w:ascii="Arial" w:hAnsi="Arial"/>
          <w:b/>
          <w:sz w:val="24"/>
        </w:rPr>
      </w:pPr>
      <w:r>
        <w:rPr>
          <w:rFonts w:ascii="Arial" w:hAnsi="Arial"/>
          <w:b/>
          <w:sz w:val="24"/>
        </w:rPr>
        <w:t xml:space="preserve">der Fraktion </w:t>
      </w:r>
      <w:r w:rsidR="00247257">
        <w:rPr>
          <w:rFonts w:ascii="Arial" w:hAnsi="Arial"/>
          <w:b/>
          <w:sz w:val="24"/>
        </w:rPr>
        <w:t>DIE LINKE</w:t>
      </w:r>
      <w:r w:rsidR="004C1F2F">
        <w:rPr>
          <w:rFonts w:ascii="Arial" w:hAnsi="Arial"/>
          <w:b/>
          <w:sz w:val="24"/>
        </w:rPr>
        <w:t>.</w:t>
      </w:r>
      <w:r w:rsidR="00EC744E">
        <w:rPr>
          <w:rFonts w:ascii="Arial" w:hAnsi="Arial"/>
          <w:b/>
          <w:sz w:val="24"/>
        </w:rPr>
        <w:t xml:space="preserve"> im Innenausschuss</w:t>
      </w:r>
    </w:p>
    <w:p w:rsidR="007954F9" w:rsidRDefault="007954F9">
      <w:pPr>
        <w:tabs>
          <w:tab w:val="right" w:pos="7938"/>
        </w:tabs>
      </w:pPr>
    </w:p>
    <w:p w:rsidR="007954F9" w:rsidRDefault="008A27BE">
      <w:pPr>
        <w:tabs>
          <w:tab w:val="right" w:pos="7938"/>
        </w:tabs>
      </w:pPr>
      <w:r>
        <w:t xml:space="preserve"> </w:t>
      </w:r>
    </w:p>
    <w:p w:rsidR="007954F9" w:rsidRDefault="007954F9">
      <w:pPr>
        <w:tabs>
          <w:tab w:val="right" w:pos="7938"/>
        </w:tabs>
      </w:pPr>
    </w:p>
    <w:p w:rsidR="00E037D6" w:rsidRDefault="00E037D6" w:rsidP="00E037D6">
      <w:pPr>
        <w:rPr>
          <w:rFonts w:ascii="Arial" w:hAnsi="Arial"/>
          <w:b/>
          <w:sz w:val="24"/>
        </w:rPr>
      </w:pPr>
      <w:r>
        <w:rPr>
          <w:rFonts w:ascii="Arial" w:hAnsi="Arial"/>
          <w:b/>
          <w:sz w:val="24"/>
        </w:rPr>
        <w:t xml:space="preserve">zu der Beratung des Gesetzentwurfs der Bundesregierung </w:t>
      </w:r>
    </w:p>
    <w:p w:rsidR="00E037D6" w:rsidRDefault="00E037D6" w:rsidP="00E037D6">
      <w:r>
        <w:rPr>
          <w:rFonts w:ascii="Arial" w:hAnsi="Arial"/>
          <w:b/>
          <w:sz w:val="24"/>
        </w:rPr>
        <w:t>- Drucksache 1</w:t>
      </w:r>
      <w:r w:rsidR="00050F39">
        <w:rPr>
          <w:rFonts w:ascii="Arial" w:hAnsi="Arial"/>
          <w:b/>
          <w:sz w:val="24"/>
        </w:rPr>
        <w:t>8</w:t>
      </w:r>
      <w:r>
        <w:rPr>
          <w:rFonts w:ascii="Arial" w:hAnsi="Arial"/>
          <w:b/>
          <w:sz w:val="24"/>
        </w:rPr>
        <w:t>/</w:t>
      </w:r>
      <w:r w:rsidR="0027794A">
        <w:rPr>
          <w:rFonts w:ascii="Arial" w:hAnsi="Arial"/>
          <w:b/>
          <w:sz w:val="24"/>
        </w:rPr>
        <w:t>9200</w:t>
      </w:r>
      <w:r>
        <w:rPr>
          <w:rFonts w:ascii="Arial" w:hAnsi="Arial"/>
          <w:b/>
          <w:sz w:val="24"/>
        </w:rPr>
        <w:t xml:space="preserve"> -</w:t>
      </w:r>
    </w:p>
    <w:p w:rsidR="00E037D6" w:rsidRDefault="00E037D6" w:rsidP="00E037D6">
      <w:pPr>
        <w:tabs>
          <w:tab w:val="right" w:pos="7938"/>
        </w:tabs>
      </w:pPr>
    </w:p>
    <w:p w:rsidR="00E037D6" w:rsidRDefault="00E037D6" w:rsidP="00E037D6">
      <w:pPr>
        <w:tabs>
          <w:tab w:val="right" w:pos="7938"/>
        </w:tabs>
      </w:pPr>
      <w:r>
        <w:rPr>
          <w:rFonts w:ascii="Arial" w:hAnsi="Arial"/>
          <w:b/>
          <w:sz w:val="24"/>
        </w:rPr>
        <w:t>Entwurf eines Gesetzes über die Feststellung des Bundeshaushaltsplans für das Haushaltsjahr 201</w:t>
      </w:r>
      <w:r w:rsidR="0027794A">
        <w:rPr>
          <w:rFonts w:ascii="Arial" w:hAnsi="Arial"/>
          <w:b/>
          <w:sz w:val="24"/>
        </w:rPr>
        <w:t>7</w:t>
      </w:r>
      <w:r>
        <w:rPr>
          <w:rFonts w:ascii="Arial" w:hAnsi="Arial"/>
          <w:b/>
          <w:sz w:val="24"/>
        </w:rPr>
        <w:t xml:space="preserve"> (Haushalts</w:t>
      </w:r>
      <w:r w:rsidR="009C76DA">
        <w:rPr>
          <w:rFonts w:ascii="Arial" w:hAnsi="Arial"/>
          <w:b/>
          <w:sz w:val="24"/>
        </w:rPr>
        <w:t>gesetz 201</w:t>
      </w:r>
      <w:r w:rsidR="0027794A">
        <w:rPr>
          <w:rFonts w:ascii="Arial" w:hAnsi="Arial"/>
          <w:b/>
          <w:sz w:val="24"/>
        </w:rPr>
        <w:t>7</w:t>
      </w:r>
      <w:r>
        <w:rPr>
          <w:rFonts w:ascii="Arial" w:hAnsi="Arial"/>
          <w:b/>
          <w:sz w:val="24"/>
        </w:rPr>
        <w:t>)</w:t>
      </w:r>
    </w:p>
    <w:p w:rsidR="00E037D6" w:rsidRDefault="00E037D6" w:rsidP="00E037D6">
      <w:pPr>
        <w:tabs>
          <w:tab w:val="right" w:pos="7938"/>
        </w:tabs>
      </w:pPr>
    </w:p>
    <w:p w:rsidR="00E037D6" w:rsidRPr="00AF3B36" w:rsidRDefault="00E037D6" w:rsidP="00E037D6">
      <w:pPr>
        <w:tabs>
          <w:tab w:val="left" w:pos="851"/>
          <w:tab w:val="right" w:pos="7938"/>
        </w:tabs>
        <w:ind w:left="851" w:hanging="851"/>
        <w:rPr>
          <w:rFonts w:ascii="Arial" w:hAnsi="Arial" w:cs="Arial"/>
          <w:b/>
          <w:sz w:val="24"/>
          <w:szCs w:val="24"/>
        </w:rPr>
      </w:pPr>
      <w:r w:rsidRPr="00AF3B36">
        <w:rPr>
          <w:rFonts w:ascii="Arial" w:hAnsi="Arial" w:cs="Arial"/>
          <w:b/>
          <w:sz w:val="24"/>
          <w:szCs w:val="24"/>
        </w:rPr>
        <w:t xml:space="preserve">hier: Einzelplan 06 </w:t>
      </w:r>
    </w:p>
    <w:p w:rsidR="00E037D6" w:rsidRPr="00AF3B36" w:rsidRDefault="00E037D6" w:rsidP="00E037D6">
      <w:pPr>
        <w:tabs>
          <w:tab w:val="left" w:pos="851"/>
          <w:tab w:val="right" w:pos="7938"/>
        </w:tabs>
        <w:ind w:left="851" w:hanging="851"/>
        <w:rPr>
          <w:rFonts w:ascii="Arial" w:hAnsi="Arial" w:cs="Arial"/>
          <w:b/>
          <w:sz w:val="24"/>
          <w:szCs w:val="24"/>
        </w:rPr>
      </w:pPr>
      <w:r>
        <w:rPr>
          <w:rFonts w:ascii="Arial" w:hAnsi="Arial" w:cs="Arial"/>
          <w:b/>
          <w:sz w:val="24"/>
          <w:szCs w:val="24"/>
        </w:rPr>
        <w:t xml:space="preserve">Geschäftsbereich des </w:t>
      </w:r>
      <w:r w:rsidRPr="00AF3B36">
        <w:rPr>
          <w:rFonts w:ascii="Arial" w:hAnsi="Arial" w:cs="Arial"/>
          <w:b/>
          <w:sz w:val="24"/>
          <w:szCs w:val="24"/>
        </w:rPr>
        <w:t>Bundesministerium</w:t>
      </w:r>
      <w:r>
        <w:rPr>
          <w:rFonts w:ascii="Arial" w:hAnsi="Arial" w:cs="Arial"/>
          <w:b/>
          <w:sz w:val="24"/>
          <w:szCs w:val="24"/>
        </w:rPr>
        <w:t>s</w:t>
      </w:r>
      <w:r w:rsidRPr="00AF3B36">
        <w:rPr>
          <w:rFonts w:ascii="Arial" w:hAnsi="Arial" w:cs="Arial"/>
          <w:b/>
          <w:sz w:val="24"/>
          <w:szCs w:val="24"/>
        </w:rPr>
        <w:t xml:space="preserve"> des Innern</w:t>
      </w:r>
    </w:p>
    <w:p w:rsidR="007954F9" w:rsidRDefault="007954F9">
      <w:pPr>
        <w:tabs>
          <w:tab w:val="right" w:pos="7938"/>
        </w:tabs>
      </w:pPr>
    </w:p>
    <w:p w:rsidR="007954F9" w:rsidRDefault="009B5740">
      <w:pPr>
        <w:tabs>
          <w:tab w:val="right" w:pos="7938"/>
        </w:tabs>
      </w:pPr>
      <w:r>
        <w:t xml:space="preserve"> </w:t>
      </w:r>
    </w:p>
    <w:p w:rsidR="007954F9" w:rsidRDefault="007954F9">
      <w:pPr>
        <w:tabs>
          <w:tab w:val="right" w:pos="7938"/>
        </w:tabs>
      </w:pPr>
    </w:p>
    <w:p w:rsidR="00E037D6" w:rsidRDefault="00E037D6" w:rsidP="00E037D6">
      <w:pPr>
        <w:tabs>
          <w:tab w:val="right" w:pos="7938"/>
        </w:tabs>
        <w:rPr>
          <w:sz w:val="22"/>
        </w:rPr>
      </w:pPr>
      <w:r>
        <w:rPr>
          <w:sz w:val="22"/>
        </w:rPr>
        <w:t>Der Innenausschuss wolle beschließen:</w:t>
      </w:r>
    </w:p>
    <w:p w:rsidR="00E037D6" w:rsidRPr="00054B8E" w:rsidRDefault="00E037D6" w:rsidP="00E037D6">
      <w:pPr>
        <w:tabs>
          <w:tab w:val="right" w:pos="7938"/>
        </w:tabs>
        <w:rPr>
          <w:sz w:val="24"/>
          <w:szCs w:val="24"/>
        </w:rPr>
      </w:pPr>
    </w:p>
    <w:p w:rsidR="00C0698E" w:rsidRDefault="00B01BFF" w:rsidP="00E037D6">
      <w:pPr>
        <w:tabs>
          <w:tab w:val="right" w:pos="7938"/>
        </w:tabs>
        <w:jc w:val="both"/>
        <w:rPr>
          <w:sz w:val="22"/>
          <w:szCs w:val="22"/>
        </w:rPr>
      </w:pPr>
      <w:r>
        <w:rPr>
          <w:sz w:val="22"/>
          <w:szCs w:val="22"/>
        </w:rPr>
        <w:t>In Kapitel 060</w:t>
      </w:r>
      <w:r w:rsidR="00E037D6">
        <w:rPr>
          <w:sz w:val="22"/>
          <w:szCs w:val="22"/>
        </w:rPr>
        <w:t xml:space="preserve">3 </w:t>
      </w:r>
      <w:r w:rsidR="00C0698E">
        <w:rPr>
          <w:sz w:val="22"/>
          <w:szCs w:val="22"/>
        </w:rPr>
        <w:t xml:space="preserve">(Integration und Migration, Minderheiten und Vertriebene) werden die Titel </w:t>
      </w:r>
    </w:p>
    <w:p w:rsidR="00257DBF" w:rsidRDefault="00257DBF" w:rsidP="00E037D6">
      <w:pPr>
        <w:tabs>
          <w:tab w:val="right" w:pos="7938"/>
        </w:tabs>
        <w:jc w:val="both"/>
        <w:rPr>
          <w:sz w:val="22"/>
          <w:szCs w:val="22"/>
        </w:rPr>
      </w:pPr>
    </w:p>
    <w:p w:rsidR="00C0698E" w:rsidRDefault="00B01BFF" w:rsidP="00E037D6">
      <w:pPr>
        <w:tabs>
          <w:tab w:val="right" w:pos="7938"/>
        </w:tabs>
        <w:jc w:val="both"/>
        <w:rPr>
          <w:sz w:val="22"/>
          <w:szCs w:val="22"/>
        </w:rPr>
      </w:pPr>
      <w:r>
        <w:rPr>
          <w:sz w:val="22"/>
          <w:szCs w:val="22"/>
        </w:rPr>
        <w:t>684 1</w:t>
      </w:r>
      <w:r w:rsidR="00E037D6" w:rsidRPr="004E6A2C">
        <w:rPr>
          <w:sz w:val="22"/>
          <w:szCs w:val="22"/>
        </w:rPr>
        <w:t xml:space="preserve">2 </w:t>
      </w:r>
      <w:r w:rsidR="00E037D6">
        <w:rPr>
          <w:sz w:val="22"/>
          <w:szCs w:val="22"/>
        </w:rPr>
        <w:t>(</w:t>
      </w:r>
      <w:r w:rsidR="00E037D6" w:rsidRPr="004E6A2C">
        <w:rPr>
          <w:sz w:val="22"/>
          <w:szCs w:val="22"/>
        </w:rPr>
        <w:t>Durchführung von Integrationskursen</w:t>
      </w:r>
      <w:r w:rsidR="00E037D6">
        <w:rPr>
          <w:sz w:val="22"/>
          <w:szCs w:val="22"/>
        </w:rPr>
        <w:t xml:space="preserve">) </w:t>
      </w:r>
      <w:r w:rsidR="00697E32">
        <w:rPr>
          <w:sz w:val="22"/>
          <w:szCs w:val="22"/>
        </w:rPr>
        <w:t xml:space="preserve">von </w:t>
      </w:r>
      <w:r w:rsidR="0027794A">
        <w:rPr>
          <w:sz w:val="22"/>
          <w:szCs w:val="22"/>
        </w:rPr>
        <w:t>610</w:t>
      </w:r>
      <w:r w:rsidR="00C0698E">
        <w:rPr>
          <w:sz w:val="22"/>
          <w:szCs w:val="22"/>
        </w:rPr>
        <w:t>,077</w:t>
      </w:r>
      <w:r w:rsidR="00697E32">
        <w:rPr>
          <w:sz w:val="22"/>
          <w:szCs w:val="22"/>
        </w:rPr>
        <w:t xml:space="preserve"> Mio. </w:t>
      </w:r>
      <w:r w:rsidR="00257DBF">
        <w:rPr>
          <w:sz w:val="22"/>
          <w:szCs w:val="22"/>
        </w:rPr>
        <w:t xml:space="preserve">€ </w:t>
      </w:r>
      <w:r w:rsidR="00E27A24">
        <w:rPr>
          <w:sz w:val="22"/>
          <w:szCs w:val="22"/>
        </w:rPr>
        <w:t xml:space="preserve">um </w:t>
      </w:r>
      <w:r w:rsidR="008B1D93">
        <w:rPr>
          <w:sz w:val="22"/>
          <w:szCs w:val="22"/>
        </w:rPr>
        <w:t>282</w:t>
      </w:r>
      <w:r w:rsidR="002D5FE1">
        <w:rPr>
          <w:sz w:val="22"/>
          <w:szCs w:val="22"/>
        </w:rPr>
        <w:t xml:space="preserve"> </w:t>
      </w:r>
      <w:r w:rsidR="00E27A24">
        <w:rPr>
          <w:sz w:val="22"/>
          <w:szCs w:val="22"/>
        </w:rPr>
        <w:t xml:space="preserve">Mio. </w:t>
      </w:r>
      <w:r w:rsidR="00E46B68">
        <w:rPr>
          <w:sz w:val="22"/>
          <w:szCs w:val="22"/>
        </w:rPr>
        <w:t xml:space="preserve">€ </w:t>
      </w:r>
      <w:r w:rsidR="00E27A24">
        <w:rPr>
          <w:sz w:val="22"/>
          <w:szCs w:val="22"/>
        </w:rPr>
        <w:t xml:space="preserve">auf </w:t>
      </w:r>
      <w:r w:rsidR="008B1D93">
        <w:rPr>
          <w:sz w:val="22"/>
          <w:szCs w:val="22"/>
        </w:rPr>
        <w:t>892</w:t>
      </w:r>
      <w:r w:rsidR="00E46B68">
        <w:rPr>
          <w:sz w:val="22"/>
          <w:szCs w:val="22"/>
        </w:rPr>
        <w:t>,077 M</w:t>
      </w:r>
      <w:r w:rsidR="00E037D6">
        <w:rPr>
          <w:sz w:val="22"/>
          <w:szCs w:val="22"/>
        </w:rPr>
        <w:t xml:space="preserve">io. </w:t>
      </w:r>
      <w:r w:rsidR="00257DBF">
        <w:rPr>
          <w:sz w:val="22"/>
          <w:szCs w:val="22"/>
        </w:rPr>
        <w:t>€</w:t>
      </w:r>
      <w:r w:rsidR="00C0698E">
        <w:rPr>
          <w:sz w:val="22"/>
          <w:szCs w:val="22"/>
        </w:rPr>
        <w:t>,</w:t>
      </w:r>
    </w:p>
    <w:p w:rsidR="00C0698E" w:rsidRDefault="00C0698E" w:rsidP="00E037D6">
      <w:pPr>
        <w:tabs>
          <w:tab w:val="right" w:pos="7938"/>
        </w:tabs>
        <w:jc w:val="both"/>
        <w:rPr>
          <w:sz w:val="22"/>
          <w:szCs w:val="22"/>
        </w:rPr>
      </w:pPr>
      <w:r>
        <w:rPr>
          <w:sz w:val="22"/>
          <w:szCs w:val="22"/>
        </w:rPr>
        <w:t>684 13 (Migrationsberatung für erwachsene Zuwanderer)</w:t>
      </w:r>
      <w:r w:rsidR="00257DBF">
        <w:rPr>
          <w:sz w:val="22"/>
          <w:szCs w:val="22"/>
        </w:rPr>
        <w:t xml:space="preserve"> von </w:t>
      </w:r>
      <w:r w:rsidR="0027794A">
        <w:rPr>
          <w:sz w:val="22"/>
          <w:szCs w:val="22"/>
        </w:rPr>
        <w:t>4</w:t>
      </w:r>
      <w:r w:rsidR="00257DBF">
        <w:rPr>
          <w:sz w:val="22"/>
          <w:szCs w:val="22"/>
        </w:rPr>
        <w:t>4,</w:t>
      </w:r>
      <w:r w:rsidR="0027794A">
        <w:rPr>
          <w:sz w:val="22"/>
          <w:szCs w:val="22"/>
        </w:rPr>
        <w:t>7</w:t>
      </w:r>
      <w:r w:rsidR="00257DBF">
        <w:rPr>
          <w:sz w:val="22"/>
          <w:szCs w:val="22"/>
        </w:rPr>
        <w:t>77 Mio. €</w:t>
      </w:r>
      <w:r>
        <w:rPr>
          <w:sz w:val="22"/>
          <w:szCs w:val="22"/>
        </w:rPr>
        <w:t xml:space="preserve"> um </w:t>
      </w:r>
      <w:r w:rsidR="00E97EAB">
        <w:rPr>
          <w:sz w:val="22"/>
          <w:szCs w:val="22"/>
        </w:rPr>
        <w:t>17</w:t>
      </w:r>
      <w:r>
        <w:rPr>
          <w:sz w:val="22"/>
          <w:szCs w:val="22"/>
        </w:rPr>
        <w:t xml:space="preserve"> Mio. </w:t>
      </w:r>
      <w:r w:rsidR="00257DBF">
        <w:rPr>
          <w:sz w:val="22"/>
          <w:szCs w:val="22"/>
        </w:rPr>
        <w:t xml:space="preserve">€ </w:t>
      </w:r>
      <w:r>
        <w:rPr>
          <w:sz w:val="22"/>
          <w:szCs w:val="22"/>
        </w:rPr>
        <w:t xml:space="preserve">auf </w:t>
      </w:r>
      <w:r w:rsidR="00E97EAB">
        <w:rPr>
          <w:sz w:val="22"/>
          <w:szCs w:val="22"/>
        </w:rPr>
        <w:t>61</w:t>
      </w:r>
      <w:r>
        <w:rPr>
          <w:sz w:val="22"/>
          <w:szCs w:val="22"/>
        </w:rPr>
        <w:t>,</w:t>
      </w:r>
      <w:r w:rsidR="0027794A">
        <w:rPr>
          <w:sz w:val="22"/>
          <w:szCs w:val="22"/>
        </w:rPr>
        <w:t>7</w:t>
      </w:r>
      <w:r>
        <w:rPr>
          <w:sz w:val="22"/>
          <w:szCs w:val="22"/>
        </w:rPr>
        <w:t xml:space="preserve">77 Mio. </w:t>
      </w:r>
      <w:r w:rsidR="00257DBF">
        <w:rPr>
          <w:sz w:val="22"/>
          <w:szCs w:val="22"/>
        </w:rPr>
        <w:t>€</w:t>
      </w:r>
      <w:r>
        <w:rPr>
          <w:sz w:val="22"/>
          <w:szCs w:val="22"/>
        </w:rPr>
        <w:t xml:space="preserve"> und</w:t>
      </w:r>
    </w:p>
    <w:p w:rsidR="00C0698E" w:rsidRDefault="00C0698E" w:rsidP="00E037D6">
      <w:pPr>
        <w:tabs>
          <w:tab w:val="right" w:pos="7938"/>
        </w:tabs>
        <w:jc w:val="both"/>
        <w:rPr>
          <w:sz w:val="22"/>
          <w:szCs w:val="22"/>
        </w:rPr>
      </w:pPr>
      <w:r>
        <w:rPr>
          <w:sz w:val="22"/>
          <w:szCs w:val="22"/>
        </w:rPr>
        <w:t xml:space="preserve">684 14 (Förderung von Maßnahmen zur Integration von Zuwanderern und Spätaussiedlern) von </w:t>
      </w:r>
      <w:r w:rsidR="0027794A">
        <w:rPr>
          <w:sz w:val="22"/>
          <w:szCs w:val="22"/>
        </w:rPr>
        <w:t>33</w:t>
      </w:r>
      <w:r>
        <w:rPr>
          <w:sz w:val="22"/>
          <w:szCs w:val="22"/>
        </w:rPr>
        <w:t xml:space="preserve">,987 </w:t>
      </w:r>
      <w:r w:rsidR="00257DBF">
        <w:rPr>
          <w:sz w:val="22"/>
          <w:szCs w:val="22"/>
        </w:rPr>
        <w:t xml:space="preserve">Mio. € </w:t>
      </w:r>
      <w:r>
        <w:rPr>
          <w:sz w:val="22"/>
          <w:szCs w:val="22"/>
        </w:rPr>
        <w:t xml:space="preserve">um </w:t>
      </w:r>
      <w:r w:rsidR="008B1D93">
        <w:rPr>
          <w:sz w:val="22"/>
          <w:szCs w:val="22"/>
        </w:rPr>
        <w:t>13</w:t>
      </w:r>
      <w:r>
        <w:rPr>
          <w:sz w:val="22"/>
          <w:szCs w:val="22"/>
        </w:rPr>
        <w:t xml:space="preserve"> </w:t>
      </w:r>
      <w:r w:rsidR="00257DBF">
        <w:rPr>
          <w:sz w:val="22"/>
          <w:szCs w:val="22"/>
        </w:rPr>
        <w:t xml:space="preserve">Mio. € </w:t>
      </w:r>
      <w:r>
        <w:rPr>
          <w:sz w:val="22"/>
          <w:szCs w:val="22"/>
        </w:rPr>
        <w:t xml:space="preserve">auf </w:t>
      </w:r>
      <w:r w:rsidR="008B1D93">
        <w:rPr>
          <w:sz w:val="22"/>
          <w:szCs w:val="22"/>
        </w:rPr>
        <w:t>46,987</w:t>
      </w:r>
      <w:r>
        <w:rPr>
          <w:sz w:val="22"/>
          <w:szCs w:val="22"/>
        </w:rPr>
        <w:t xml:space="preserve"> Mio. </w:t>
      </w:r>
      <w:r w:rsidR="00257DBF">
        <w:rPr>
          <w:sz w:val="22"/>
          <w:szCs w:val="22"/>
        </w:rPr>
        <w:t>€</w:t>
      </w:r>
      <w:r>
        <w:rPr>
          <w:sz w:val="22"/>
          <w:szCs w:val="22"/>
        </w:rPr>
        <w:t xml:space="preserve"> erhöht.</w:t>
      </w:r>
    </w:p>
    <w:p w:rsidR="00E037D6" w:rsidRPr="004E6A2C" w:rsidRDefault="00E037D6" w:rsidP="00E037D6">
      <w:pPr>
        <w:tabs>
          <w:tab w:val="right" w:pos="7938"/>
        </w:tabs>
        <w:jc w:val="both"/>
        <w:rPr>
          <w:sz w:val="22"/>
          <w:szCs w:val="22"/>
        </w:rPr>
      </w:pPr>
    </w:p>
    <w:p w:rsidR="007954F9" w:rsidRDefault="007954F9">
      <w:pPr>
        <w:tabs>
          <w:tab w:val="right" w:pos="7938"/>
        </w:tabs>
        <w:rPr>
          <w:sz w:val="22"/>
        </w:rPr>
      </w:pPr>
      <w:r>
        <w:rPr>
          <w:sz w:val="22"/>
        </w:rPr>
        <w:t xml:space="preserve">Berlin, den </w:t>
      </w:r>
      <w:r>
        <w:rPr>
          <w:sz w:val="22"/>
        </w:rPr>
        <w:fldChar w:fldCharType="begin"/>
      </w:r>
      <w:r>
        <w:rPr>
          <w:sz w:val="22"/>
        </w:rPr>
        <w:instrText xml:space="preserve"> TIME \@ "d. MMMM yyyy" </w:instrText>
      </w:r>
      <w:r>
        <w:rPr>
          <w:sz w:val="22"/>
        </w:rPr>
        <w:fldChar w:fldCharType="separate"/>
      </w:r>
      <w:r w:rsidR="00D824FE">
        <w:rPr>
          <w:noProof/>
          <w:sz w:val="22"/>
        </w:rPr>
        <w:t>23. September 2016</w:t>
      </w:r>
      <w:r>
        <w:rPr>
          <w:sz w:val="22"/>
        </w:rPr>
        <w:fldChar w:fldCharType="end"/>
      </w:r>
    </w:p>
    <w:p w:rsidR="007954F9" w:rsidRDefault="007954F9">
      <w:pPr>
        <w:tabs>
          <w:tab w:val="right" w:pos="7938"/>
        </w:tabs>
        <w:rPr>
          <w:sz w:val="22"/>
        </w:rPr>
      </w:pPr>
    </w:p>
    <w:p w:rsidR="007954F9" w:rsidRDefault="007954F9">
      <w:pPr>
        <w:tabs>
          <w:tab w:val="right" w:pos="7938"/>
        </w:tabs>
      </w:pPr>
    </w:p>
    <w:p w:rsidR="007954F9" w:rsidRDefault="007954F9">
      <w:pPr>
        <w:tabs>
          <w:tab w:val="right" w:pos="7938"/>
        </w:tabs>
        <w:rPr>
          <w:sz w:val="22"/>
        </w:rPr>
      </w:pPr>
      <w:r>
        <w:rPr>
          <w:rFonts w:ascii="Arial" w:hAnsi="Arial"/>
          <w:b/>
          <w:sz w:val="22"/>
        </w:rPr>
        <w:t>Begründung</w:t>
      </w:r>
    </w:p>
    <w:p w:rsidR="0052584E" w:rsidRDefault="0052584E" w:rsidP="007D706B">
      <w:pPr>
        <w:tabs>
          <w:tab w:val="right" w:pos="7938"/>
        </w:tabs>
        <w:rPr>
          <w:sz w:val="22"/>
        </w:rPr>
      </w:pPr>
    </w:p>
    <w:p w:rsidR="00D1609D" w:rsidRDefault="0047033D" w:rsidP="009D37B0">
      <w:pPr>
        <w:tabs>
          <w:tab w:val="right" w:pos="7938"/>
        </w:tabs>
        <w:rPr>
          <w:sz w:val="22"/>
        </w:rPr>
      </w:pPr>
      <w:r>
        <w:rPr>
          <w:sz w:val="22"/>
        </w:rPr>
        <w:t>Im Jahr 2015 gab es eine Rekord-Einwanderung nach Deutschland</w:t>
      </w:r>
      <w:r w:rsidR="00F32B23">
        <w:rPr>
          <w:sz w:val="22"/>
        </w:rPr>
        <w:t xml:space="preserve">, die so genannte „Nettozuwanderung“ betrug in etwa 1,1 Mio. Menschen. </w:t>
      </w:r>
      <w:r w:rsidR="00EF3C61">
        <w:rPr>
          <w:sz w:val="22"/>
        </w:rPr>
        <w:t xml:space="preserve">Während in den </w:t>
      </w:r>
      <w:r w:rsidR="00ED1CD8">
        <w:rPr>
          <w:sz w:val="22"/>
        </w:rPr>
        <w:t>Jahren zuvor</w:t>
      </w:r>
      <w:r w:rsidR="00EF3C61">
        <w:rPr>
          <w:sz w:val="22"/>
        </w:rPr>
        <w:t xml:space="preserve"> die Einwanderung </w:t>
      </w:r>
      <w:r w:rsidR="00F32B23">
        <w:rPr>
          <w:sz w:val="22"/>
        </w:rPr>
        <w:t xml:space="preserve">im Rahmen der EU-Freizügigkeit </w:t>
      </w:r>
      <w:r w:rsidR="00EF3C61">
        <w:rPr>
          <w:sz w:val="22"/>
        </w:rPr>
        <w:t>dominierte, stand</w:t>
      </w:r>
      <w:r w:rsidR="00F32B23">
        <w:rPr>
          <w:sz w:val="22"/>
        </w:rPr>
        <w:t xml:space="preserve"> 2015 die Aufnahme einer großen Zahl von Asylsuchenden, insbesondere aus Syrien, dem Irak und Afghanistan, im Vordergrund. </w:t>
      </w:r>
      <w:r w:rsidR="002F1C43">
        <w:rPr>
          <w:sz w:val="22"/>
        </w:rPr>
        <w:t xml:space="preserve">Die </w:t>
      </w:r>
      <w:r w:rsidR="00F32B23">
        <w:rPr>
          <w:sz w:val="22"/>
        </w:rPr>
        <w:t>Bundesa</w:t>
      </w:r>
      <w:r w:rsidR="00602466">
        <w:rPr>
          <w:sz w:val="22"/>
        </w:rPr>
        <w:t>usgaben für die Integration</w:t>
      </w:r>
      <w:r w:rsidR="002F1C43">
        <w:rPr>
          <w:sz w:val="22"/>
        </w:rPr>
        <w:t xml:space="preserve">sförderung </w:t>
      </w:r>
      <w:r w:rsidR="00602466">
        <w:rPr>
          <w:sz w:val="22"/>
        </w:rPr>
        <w:t xml:space="preserve">müssen </w:t>
      </w:r>
      <w:r w:rsidR="00421ADD">
        <w:rPr>
          <w:sz w:val="22"/>
        </w:rPr>
        <w:t>dem</w:t>
      </w:r>
      <w:r w:rsidR="002F1C43">
        <w:rPr>
          <w:sz w:val="22"/>
        </w:rPr>
        <w:t xml:space="preserve"> gestiegenen </w:t>
      </w:r>
      <w:r w:rsidR="00421ADD">
        <w:rPr>
          <w:sz w:val="22"/>
        </w:rPr>
        <w:t xml:space="preserve">Bedarf </w:t>
      </w:r>
      <w:r w:rsidR="00F32B23">
        <w:rPr>
          <w:sz w:val="22"/>
        </w:rPr>
        <w:t xml:space="preserve">und </w:t>
      </w:r>
      <w:r w:rsidR="00421ADD">
        <w:rPr>
          <w:sz w:val="22"/>
        </w:rPr>
        <w:t xml:space="preserve">den </w:t>
      </w:r>
      <w:r w:rsidR="00F32B23">
        <w:rPr>
          <w:sz w:val="22"/>
        </w:rPr>
        <w:t xml:space="preserve">gewandelten Herausforderungen </w:t>
      </w:r>
      <w:r w:rsidR="002F1C43">
        <w:rPr>
          <w:sz w:val="22"/>
        </w:rPr>
        <w:t>angepasst</w:t>
      </w:r>
      <w:r w:rsidR="00ED1CD8">
        <w:rPr>
          <w:sz w:val="22"/>
        </w:rPr>
        <w:t xml:space="preserve"> und </w:t>
      </w:r>
      <w:r w:rsidR="006113BB">
        <w:rPr>
          <w:sz w:val="22"/>
        </w:rPr>
        <w:t>deutlich erhöht</w:t>
      </w:r>
      <w:r w:rsidR="002F1C43">
        <w:rPr>
          <w:sz w:val="22"/>
        </w:rPr>
        <w:t xml:space="preserve"> werden. </w:t>
      </w:r>
      <w:r w:rsidR="00602466">
        <w:rPr>
          <w:sz w:val="22"/>
        </w:rPr>
        <w:t xml:space="preserve">Ausgaben </w:t>
      </w:r>
      <w:r w:rsidR="007C1A7B">
        <w:rPr>
          <w:sz w:val="22"/>
        </w:rPr>
        <w:t xml:space="preserve">in die Integration sind </w:t>
      </w:r>
      <w:r w:rsidR="00602466">
        <w:rPr>
          <w:sz w:val="22"/>
        </w:rPr>
        <w:t>wertvolle Investitionen in die Zukunft</w:t>
      </w:r>
      <w:r w:rsidR="007C1A7B">
        <w:rPr>
          <w:sz w:val="22"/>
        </w:rPr>
        <w:t xml:space="preserve"> </w:t>
      </w:r>
      <w:r w:rsidR="006113BB">
        <w:rPr>
          <w:sz w:val="22"/>
        </w:rPr>
        <w:t xml:space="preserve">des Landes </w:t>
      </w:r>
      <w:r w:rsidR="007C1A7B">
        <w:rPr>
          <w:sz w:val="22"/>
        </w:rPr>
        <w:t>und stärken die gesellschaftlichen Teilhabemöglich</w:t>
      </w:r>
      <w:r w:rsidR="00C1052F">
        <w:rPr>
          <w:sz w:val="22"/>
        </w:rPr>
        <w:t>keiten</w:t>
      </w:r>
      <w:r w:rsidR="007C1A7B">
        <w:rPr>
          <w:sz w:val="22"/>
        </w:rPr>
        <w:t xml:space="preserve"> der Eingewanderten. </w:t>
      </w:r>
    </w:p>
    <w:p w:rsidR="007C1A7B" w:rsidRDefault="007C1A7B" w:rsidP="009D37B0">
      <w:pPr>
        <w:tabs>
          <w:tab w:val="right" w:pos="7938"/>
        </w:tabs>
        <w:rPr>
          <w:sz w:val="22"/>
        </w:rPr>
      </w:pPr>
    </w:p>
    <w:p w:rsidR="002F1C43" w:rsidRDefault="006113BB" w:rsidP="009D37B0">
      <w:pPr>
        <w:tabs>
          <w:tab w:val="right" w:pos="7938"/>
        </w:tabs>
        <w:rPr>
          <w:sz w:val="22"/>
        </w:rPr>
      </w:pPr>
      <w:r>
        <w:rPr>
          <w:sz w:val="22"/>
        </w:rPr>
        <w:t>Zentral ist eine gute und früh</w:t>
      </w:r>
      <w:r w:rsidR="00421ADD">
        <w:rPr>
          <w:sz w:val="22"/>
        </w:rPr>
        <w:t>zeitige</w:t>
      </w:r>
      <w:r>
        <w:rPr>
          <w:sz w:val="22"/>
        </w:rPr>
        <w:t xml:space="preserve"> Sprachförderung für neu ins Land Gekommene. </w:t>
      </w:r>
      <w:r w:rsidR="002F1C43">
        <w:rPr>
          <w:sz w:val="22"/>
        </w:rPr>
        <w:t>Laut Schwerpunktepapier des Bundesministeriums des Innern zum Einzelplan 06 (Ausschussdrucksache 18(4)637, S. 90ff) könne die Teilnehme</w:t>
      </w:r>
      <w:r>
        <w:rPr>
          <w:sz w:val="22"/>
        </w:rPr>
        <w:t>r</w:t>
      </w:r>
      <w:r w:rsidR="002F1C43">
        <w:rPr>
          <w:sz w:val="22"/>
        </w:rPr>
        <w:t>zahl an Integrationskursen für das Jahr 2017 „noch nicht valide eingeschätzt werden“, weshalb eine „Veranschlagung auf Sicht“ erfolge.</w:t>
      </w:r>
    </w:p>
    <w:p w:rsidR="00E45DCB" w:rsidRDefault="002F1C43" w:rsidP="009D37B0">
      <w:pPr>
        <w:tabs>
          <w:tab w:val="right" w:pos="7938"/>
        </w:tabs>
        <w:rPr>
          <w:sz w:val="22"/>
        </w:rPr>
      </w:pPr>
      <w:r>
        <w:rPr>
          <w:sz w:val="22"/>
        </w:rPr>
        <w:t>Die geplante Erhöhung der Mittel für Integrationskurse um lediglich 51 Mio. auf dann 610 Mio. Euro wird den erheblich gestiegenen Anforderungen</w:t>
      </w:r>
      <w:r w:rsidR="006113BB">
        <w:rPr>
          <w:sz w:val="22"/>
        </w:rPr>
        <w:t xml:space="preserve"> </w:t>
      </w:r>
      <w:r>
        <w:rPr>
          <w:sz w:val="22"/>
        </w:rPr>
        <w:t xml:space="preserve">nicht gerecht. Sachinformationen des Bundesministeriums des Innern vom 12. September 2016 an den Abgeordneten Roland Claus zeigen, dass vom Januar bis August </w:t>
      </w:r>
      <w:r w:rsidR="006113BB">
        <w:rPr>
          <w:sz w:val="22"/>
        </w:rPr>
        <w:t xml:space="preserve">2016 </w:t>
      </w:r>
      <w:r>
        <w:rPr>
          <w:sz w:val="22"/>
        </w:rPr>
        <w:t xml:space="preserve">bereits 365.958 neue Teilnahmeberechtigungen bzw. -verpflichtungen ausgestellt wurden – demgegenüber gab es im selben Zeitraum </w:t>
      </w:r>
      <w:r w:rsidR="006113BB">
        <w:rPr>
          <w:sz w:val="22"/>
        </w:rPr>
        <w:t xml:space="preserve">jedoch </w:t>
      </w:r>
      <w:r>
        <w:rPr>
          <w:sz w:val="22"/>
        </w:rPr>
        <w:t xml:space="preserve">nur 171.068 neue Kursteilnehmende, </w:t>
      </w:r>
      <w:r w:rsidR="006113BB">
        <w:rPr>
          <w:sz w:val="22"/>
        </w:rPr>
        <w:t xml:space="preserve">etwa 60 Prozent von ihnen kamen aus den aktuellen Hauptherkunftsländern von Geflüchteten Syrien, Irak, </w:t>
      </w:r>
      <w:r w:rsidR="006113BB">
        <w:rPr>
          <w:sz w:val="22"/>
        </w:rPr>
        <w:lastRenderedPageBreak/>
        <w:t xml:space="preserve">Eritrea und Iran (gut 20 Prozent aus anderen Ländern der EU, 2015 waren dies noch knapp 42 Prozent). Die eingestellten Haushaltsmittel werden angesichts dieser </w:t>
      </w:r>
      <w:r w:rsidR="00ED1CD8">
        <w:rPr>
          <w:sz w:val="22"/>
        </w:rPr>
        <w:t>Entwicklung</w:t>
      </w:r>
      <w:r w:rsidR="006113BB">
        <w:rPr>
          <w:sz w:val="22"/>
        </w:rPr>
        <w:t xml:space="preserve"> nur dann ausreichen, wenn nicht genügend Sprach</w:t>
      </w:r>
      <w:r w:rsidR="003C34DB">
        <w:rPr>
          <w:sz w:val="22"/>
        </w:rPr>
        <w:t xml:space="preserve">- und Integrationskurse </w:t>
      </w:r>
      <w:r w:rsidR="00ED1CD8">
        <w:rPr>
          <w:sz w:val="22"/>
        </w:rPr>
        <w:t>zur Verfügung stehen</w:t>
      </w:r>
      <w:r w:rsidR="003C34DB">
        <w:rPr>
          <w:sz w:val="22"/>
        </w:rPr>
        <w:t xml:space="preserve"> sollten – </w:t>
      </w:r>
      <w:r w:rsidR="00ED1CD8">
        <w:rPr>
          <w:sz w:val="22"/>
        </w:rPr>
        <w:t>hierauf deutet</w:t>
      </w:r>
      <w:r w:rsidR="003C34DB">
        <w:rPr>
          <w:sz w:val="22"/>
        </w:rPr>
        <w:t xml:space="preserve"> die große Diskrepanz zwischen Berechtigungen und tatsächliche</w:t>
      </w:r>
      <w:r w:rsidR="00ED1CD8">
        <w:rPr>
          <w:sz w:val="22"/>
        </w:rPr>
        <w:t>n Kurseintritten hin.</w:t>
      </w:r>
      <w:r w:rsidR="003C34DB">
        <w:rPr>
          <w:sz w:val="22"/>
        </w:rPr>
        <w:t xml:space="preserve"> Dem muss wirksam entgegengesteuert werden</w:t>
      </w:r>
      <w:r w:rsidR="00ED1CD8">
        <w:rPr>
          <w:sz w:val="22"/>
        </w:rPr>
        <w:t>. A</w:t>
      </w:r>
      <w:r w:rsidR="003C34DB">
        <w:rPr>
          <w:sz w:val="22"/>
        </w:rPr>
        <w:t xml:space="preserve">lle </w:t>
      </w:r>
      <w:r w:rsidR="00ED1CD8">
        <w:rPr>
          <w:sz w:val="22"/>
        </w:rPr>
        <w:t xml:space="preserve">Einwanderinnen und Einwanderer mit </w:t>
      </w:r>
      <w:r w:rsidR="00421ADD">
        <w:rPr>
          <w:sz w:val="22"/>
        </w:rPr>
        <w:t>entsprechendem</w:t>
      </w:r>
      <w:r w:rsidR="00ED1CD8">
        <w:rPr>
          <w:sz w:val="22"/>
        </w:rPr>
        <w:t xml:space="preserve"> Förderbedarf sollten </w:t>
      </w:r>
      <w:r w:rsidR="00421ADD">
        <w:rPr>
          <w:sz w:val="22"/>
        </w:rPr>
        <w:t>schnell</w:t>
      </w:r>
      <w:r w:rsidR="003C34DB">
        <w:rPr>
          <w:sz w:val="22"/>
        </w:rPr>
        <w:t xml:space="preserve"> ein Sprachkursangebot erhalten</w:t>
      </w:r>
      <w:r w:rsidR="00ED1CD8">
        <w:rPr>
          <w:sz w:val="22"/>
        </w:rPr>
        <w:t>, damit die Integration gut gelingt</w:t>
      </w:r>
      <w:r w:rsidR="00E45DCB">
        <w:rPr>
          <w:sz w:val="22"/>
        </w:rPr>
        <w:t>.</w:t>
      </w:r>
      <w:r w:rsidR="00D51093">
        <w:rPr>
          <w:sz w:val="22"/>
        </w:rPr>
        <w:t xml:space="preserve"> </w:t>
      </w:r>
      <w:r w:rsidR="003C34DB">
        <w:rPr>
          <w:sz w:val="22"/>
        </w:rPr>
        <w:t xml:space="preserve">Deshalb müssen </w:t>
      </w:r>
      <w:r w:rsidR="00E45DCB">
        <w:rPr>
          <w:sz w:val="22"/>
        </w:rPr>
        <w:t>vor allem</w:t>
      </w:r>
      <w:r w:rsidR="003C34DB">
        <w:rPr>
          <w:sz w:val="22"/>
        </w:rPr>
        <w:t xml:space="preserve"> die Besch</w:t>
      </w:r>
      <w:r w:rsidR="003C34DB" w:rsidRPr="00D1609D">
        <w:rPr>
          <w:sz w:val="22"/>
        </w:rPr>
        <w:t xml:space="preserve">äftigungsbedingungen der Lehrkräfte </w:t>
      </w:r>
      <w:r w:rsidR="003C34DB">
        <w:rPr>
          <w:sz w:val="22"/>
        </w:rPr>
        <w:t xml:space="preserve">in Integrationskursen </w:t>
      </w:r>
      <w:r w:rsidR="00951EA9">
        <w:rPr>
          <w:sz w:val="22"/>
        </w:rPr>
        <w:t xml:space="preserve">und insgesamt die Attraktivität des Berufsbildes deutlich verbessert </w:t>
      </w:r>
      <w:r w:rsidR="003C34DB">
        <w:rPr>
          <w:sz w:val="22"/>
        </w:rPr>
        <w:t>werden</w:t>
      </w:r>
      <w:r w:rsidR="00E45DCB">
        <w:rPr>
          <w:sz w:val="22"/>
        </w:rPr>
        <w:t>. E</w:t>
      </w:r>
      <w:r w:rsidR="00ED1CD8">
        <w:rPr>
          <w:sz w:val="22"/>
        </w:rPr>
        <w:t>s gibt derzeit offenbar zu wenig</w:t>
      </w:r>
      <w:r w:rsidR="00E45DCB">
        <w:rPr>
          <w:sz w:val="22"/>
        </w:rPr>
        <w:t>e</w:t>
      </w:r>
      <w:r w:rsidR="00ED1CD8">
        <w:rPr>
          <w:sz w:val="22"/>
        </w:rPr>
        <w:t xml:space="preserve"> aktive Lehrkräfte</w:t>
      </w:r>
      <w:r w:rsidR="00E45DCB">
        <w:rPr>
          <w:sz w:val="22"/>
        </w:rPr>
        <w:t xml:space="preserve">, </w:t>
      </w:r>
      <w:r w:rsidR="00ED1CD8">
        <w:rPr>
          <w:sz w:val="22"/>
        </w:rPr>
        <w:t>trotz 20.000 in den Jahren 2015 und 2016 neu zugelassenen Lehrkräften</w:t>
      </w:r>
      <w:r w:rsidR="00E45DCB">
        <w:rPr>
          <w:sz w:val="22"/>
        </w:rPr>
        <w:t xml:space="preserve"> sind</w:t>
      </w:r>
      <w:r w:rsidR="00ED1CD8">
        <w:rPr>
          <w:sz w:val="22"/>
        </w:rPr>
        <w:t xml:space="preserve"> derzeit nur gut 15.000 Lehrkräfte aktiv</w:t>
      </w:r>
      <w:r w:rsidR="00E45DCB">
        <w:rPr>
          <w:sz w:val="22"/>
        </w:rPr>
        <w:t xml:space="preserve"> (</w:t>
      </w:r>
      <w:r w:rsidR="00ED1CD8">
        <w:rPr>
          <w:sz w:val="22"/>
        </w:rPr>
        <w:t>vgl. die genannte Sachinformation)</w:t>
      </w:r>
      <w:r w:rsidR="00E45DCB">
        <w:rPr>
          <w:sz w:val="22"/>
        </w:rPr>
        <w:t xml:space="preserve">. Der maßgebliche Grund hierfür sind die von der LINKEN seit </w:t>
      </w:r>
      <w:r w:rsidR="00951EA9">
        <w:rPr>
          <w:sz w:val="22"/>
        </w:rPr>
        <w:t xml:space="preserve">jeher </w:t>
      </w:r>
      <w:r w:rsidR="00E45DCB">
        <w:rPr>
          <w:sz w:val="22"/>
        </w:rPr>
        <w:t xml:space="preserve">beklagte Unterfinanzierung des Integrationskurssystems und die </w:t>
      </w:r>
      <w:r w:rsidR="00951EA9">
        <w:rPr>
          <w:sz w:val="22"/>
        </w:rPr>
        <w:t xml:space="preserve">eklatante </w:t>
      </w:r>
      <w:r w:rsidR="00E45DCB">
        <w:rPr>
          <w:sz w:val="22"/>
        </w:rPr>
        <w:t xml:space="preserve">Unterbezahlung der zumeist prekär beschäftigten Lehrkräfte. Diese wurden für ihre gesellschaftlich wichtige und hoch qualifizierte Tätigkeit mit Honorarlöhnen abgespeist, die oftmals nur auf Hartz IV-Niveau lagen. Die </w:t>
      </w:r>
      <w:r w:rsidR="00951EA9">
        <w:rPr>
          <w:sz w:val="22"/>
        </w:rPr>
        <w:t xml:space="preserve">– </w:t>
      </w:r>
      <w:r w:rsidR="00677007">
        <w:rPr>
          <w:sz w:val="22"/>
        </w:rPr>
        <w:t xml:space="preserve">zuvor </w:t>
      </w:r>
      <w:r w:rsidR="00951EA9">
        <w:rPr>
          <w:sz w:val="22"/>
        </w:rPr>
        <w:t xml:space="preserve">jahrelang abgelehnte – </w:t>
      </w:r>
      <w:r w:rsidR="00677007">
        <w:rPr>
          <w:sz w:val="22"/>
        </w:rPr>
        <w:t xml:space="preserve">deutliche </w:t>
      </w:r>
      <w:r w:rsidR="00E45DCB">
        <w:rPr>
          <w:sz w:val="22"/>
        </w:rPr>
        <w:t xml:space="preserve">Anhebung der Mindesthonorargrenze zum 1. Juli 2016 </w:t>
      </w:r>
      <w:r w:rsidR="00951EA9">
        <w:rPr>
          <w:sz w:val="22"/>
        </w:rPr>
        <w:t xml:space="preserve">auf 35 Euro pro Unterrichtseinheit </w:t>
      </w:r>
      <w:r w:rsidR="00E45DCB">
        <w:rPr>
          <w:sz w:val="22"/>
        </w:rPr>
        <w:t>ist zwar ein Schritt in die richtige Richtung</w:t>
      </w:r>
      <w:r w:rsidR="00951EA9">
        <w:rPr>
          <w:sz w:val="22"/>
        </w:rPr>
        <w:t xml:space="preserve">, dem müssen jedoch weitere Verbesserungen folgen. </w:t>
      </w:r>
      <w:r w:rsidR="00677007">
        <w:rPr>
          <w:sz w:val="22"/>
        </w:rPr>
        <w:t>Insbesondere müssen s</w:t>
      </w:r>
      <w:r w:rsidR="00951EA9">
        <w:rPr>
          <w:sz w:val="22"/>
        </w:rPr>
        <w:t xml:space="preserve">ozialversicherungspflichtige Beschäftigungsverhältnisse als Regelfall </w:t>
      </w:r>
      <w:r w:rsidR="00677007">
        <w:rPr>
          <w:sz w:val="22"/>
        </w:rPr>
        <w:t xml:space="preserve">angestrebt werden, </w:t>
      </w:r>
      <w:r w:rsidR="00951EA9">
        <w:rPr>
          <w:sz w:val="22"/>
        </w:rPr>
        <w:t xml:space="preserve">im Übrigen </w:t>
      </w:r>
      <w:r w:rsidR="00677007">
        <w:rPr>
          <w:sz w:val="22"/>
        </w:rPr>
        <w:t xml:space="preserve">sind </w:t>
      </w:r>
      <w:r w:rsidR="00951EA9">
        <w:rPr>
          <w:sz w:val="22"/>
        </w:rPr>
        <w:t xml:space="preserve">Vorbereitungs-, Krankheits- und Urlaubszeiten, </w:t>
      </w:r>
      <w:r w:rsidR="00677007">
        <w:rPr>
          <w:sz w:val="22"/>
        </w:rPr>
        <w:t xml:space="preserve">sowie Beiträge zur </w:t>
      </w:r>
      <w:r w:rsidR="00951EA9">
        <w:rPr>
          <w:sz w:val="22"/>
        </w:rPr>
        <w:t>Renten</w:t>
      </w:r>
      <w:r w:rsidR="00677007">
        <w:rPr>
          <w:sz w:val="22"/>
        </w:rPr>
        <w:t>- und Krankenversicherung</w:t>
      </w:r>
      <w:r w:rsidR="00951EA9">
        <w:rPr>
          <w:sz w:val="22"/>
        </w:rPr>
        <w:t xml:space="preserve"> angemessen </w:t>
      </w:r>
      <w:r w:rsidR="00677007">
        <w:rPr>
          <w:sz w:val="22"/>
        </w:rPr>
        <w:t>zu berücksichtigen</w:t>
      </w:r>
      <w:r w:rsidR="00951EA9">
        <w:rPr>
          <w:sz w:val="22"/>
        </w:rPr>
        <w:t xml:space="preserve">. </w:t>
      </w:r>
    </w:p>
    <w:p w:rsidR="003C34DB" w:rsidRDefault="00D51093" w:rsidP="009D37B0">
      <w:pPr>
        <w:tabs>
          <w:tab w:val="right" w:pos="7938"/>
        </w:tabs>
        <w:rPr>
          <w:sz w:val="22"/>
        </w:rPr>
      </w:pPr>
      <w:r>
        <w:rPr>
          <w:sz w:val="22"/>
        </w:rPr>
        <w:t xml:space="preserve">Die Beschränkung </w:t>
      </w:r>
      <w:r w:rsidR="00677007">
        <w:rPr>
          <w:sz w:val="22"/>
        </w:rPr>
        <w:t>des</w:t>
      </w:r>
      <w:r>
        <w:rPr>
          <w:sz w:val="22"/>
        </w:rPr>
        <w:t xml:space="preserve"> Sprachkursangebots auf Asylsuchende mit vermeintlich „guter Bleibeperspektive“ </w:t>
      </w:r>
      <w:r w:rsidR="00677007">
        <w:rPr>
          <w:sz w:val="22"/>
        </w:rPr>
        <w:t xml:space="preserve">wird von der LINKEN abgelehnt. Diese Unterscheidung ist in der praktischen Anwendung </w:t>
      </w:r>
      <w:r>
        <w:rPr>
          <w:sz w:val="22"/>
        </w:rPr>
        <w:t>willkür</w:t>
      </w:r>
      <w:r w:rsidR="00677007">
        <w:rPr>
          <w:sz w:val="22"/>
        </w:rPr>
        <w:t xml:space="preserve">lich und mit dem Grundgedanken des individuellen Asylgrundrechts nicht vereinbar. Der selektive Sprachkurszugang führt zudem zu erheblichen Konflikten in Gemeinschaftsunterkünften von Geflüchteten, wegen der damit verbundenen diskriminierenden Ungleichbehandlung. </w:t>
      </w:r>
    </w:p>
    <w:p w:rsidR="00677007" w:rsidRDefault="00677007" w:rsidP="009D37B0">
      <w:pPr>
        <w:tabs>
          <w:tab w:val="right" w:pos="7938"/>
        </w:tabs>
        <w:rPr>
          <w:sz w:val="22"/>
        </w:rPr>
      </w:pPr>
      <w:r>
        <w:rPr>
          <w:sz w:val="22"/>
        </w:rPr>
        <w:t xml:space="preserve">Die geforderten Mehrausgaben in Höhe von 282 Euro sind für eine Ausweitung des Sprachkurszugangs und für eine weitere Verbesserung der Beschäftigungssituation der Lehrkräfte erforderlich. </w:t>
      </w:r>
    </w:p>
    <w:p w:rsidR="00951EA9" w:rsidRDefault="00951EA9" w:rsidP="009D37B0">
      <w:pPr>
        <w:tabs>
          <w:tab w:val="right" w:pos="7938"/>
        </w:tabs>
        <w:rPr>
          <w:sz w:val="22"/>
        </w:rPr>
      </w:pPr>
    </w:p>
    <w:p w:rsidR="00B113C7" w:rsidRDefault="00D1609D" w:rsidP="009D37B0">
      <w:pPr>
        <w:tabs>
          <w:tab w:val="right" w:pos="7938"/>
        </w:tabs>
        <w:rPr>
          <w:sz w:val="22"/>
        </w:rPr>
      </w:pPr>
      <w:r w:rsidRPr="00D1609D">
        <w:rPr>
          <w:sz w:val="22"/>
        </w:rPr>
        <w:t>Die Bundesarbeitsgemeinschaft der Freien Wohlfahr</w:t>
      </w:r>
      <w:r w:rsidR="0038016A">
        <w:rPr>
          <w:sz w:val="22"/>
        </w:rPr>
        <w:t>tspflege hat mit Schreiben vom 6</w:t>
      </w:r>
      <w:r w:rsidRPr="00D1609D">
        <w:rPr>
          <w:sz w:val="22"/>
        </w:rPr>
        <w:t>.9.</w:t>
      </w:r>
      <w:r w:rsidR="00602466">
        <w:rPr>
          <w:sz w:val="22"/>
        </w:rPr>
        <w:t>201</w:t>
      </w:r>
      <w:r w:rsidR="0038016A">
        <w:rPr>
          <w:sz w:val="22"/>
        </w:rPr>
        <w:t>6</w:t>
      </w:r>
      <w:r w:rsidRPr="00D1609D">
        <w:rPr>
          <w:sz w:val="22"/>
        </w:rPr>
        <w:t xml:space="preserve"> </w:t>
      </w:r>
      <w:r w:rsidR="008F6C36">
        <w:rPr>
          <w:sz w:val="22"/>
        </w:rPr>
        <w:t xml:space="preserve">überzeugend </w:t>
      </w:r>
      <w:r w:rsidR="00B113C7">
        <w:rPr>
          <w:sz w:val="22"/>
        </w:rPr>
        <w:t>dargelegt und</w:t>
      </w:r>
      <w:r w:rsidR="0038016A">
        <w:rPr>
          <w:sz w:val="22"/>
        </w:rPr>
        <w:t xml:space="preserve"> begründet</w:t>
      </w:r>
      <w:r w:rsidRPr="00D1609D">
        <w:rPr>
          <w:sz w:val="22"/>
        </w:rPr>
        <w:t xml:space="preserve">, dass eine Aufstockung </w:t>
      </w:r>
      <w:r w:rsidR="0038016A">
        <w:rPr>
          <w:sz w:val="22"/>
        </w:rPr>
        <w:t xml:space="preserve">der Mittel für die Migrationsberatung für erwachsene Zuwanderer (MBE) </w:t>
      </w:r>
      <w:r w:rsidRPr="00D1609D">
        <w:rPr>
          <w:sz w:val="22"/>
        </w:rPr>
        <w:t xml:space="preserve">um </w:t>
      </w:r>
      <w:r w:rsidR="0035129B">
        <w:rPr>
          <w:sz w:val="22"/>
        </w:rPr>
        <w:t xml:space="preserve">mindestens </w:t>
      </w:r>
      <w:r w:rsidR="0038016A">
        <w:rPr>
          <w:sz w:val="22"/>
        </w:rPr>
        <w:t>17</w:t>
      </w:r>
      <w:r w:rsidRPr="00D1609D">
        <w:rPr>
          <w:sz w:val="22"/>
        </w:rPr>
        <w:t xml:space="preserve"> Mio. </w:t>
      </w:r>
      <w:r w:rsidR="00602466">
        <w:rPr>
          <w:sz w:val="22"/>
        </w:rPr>
        <w:t xml:space="preserve">€ </w:t>
      </w:r>
      <w:r w:rsidRPr="00D1609D">
        <w:rPr>
          <w:sz w:val="22"/>
        </w:rPr>
        <w:t xml:space="preserve">erforderlich ist, um ein ausreichendes </w:t>
      </w:r>
      <w:r w:rsidR="0038016A">
        <w:rPr>
          <w:sz w:val="22"/>
        </w:rPr>
        <w:t>Beratungsa</w:t>
      </w:r>
      <w:r w:rsidR="00602466">
        <w:rPr>
          <w:sz w:val="22"/>
        </w:rPr>
        <w:t xml:space="preserve">ngebot </w:t>
      </w:r>
      <w:r w:rsidRPr="00D1609D">
        <w:rPr>
          <w:sz w:val="22"/>
        </w:rPr>
        <w:t>zu gewährleisten</w:t>
      </w:r>
      <w:r w:rsidR="0038016A">
        <w:rPr>
          <w:sz w:val="22"/>
        </w:rPr>
        <w:t xml:space="preserve"> (hinzu kommen </w:t>
      </w:r>
      <w:r w:rsidR="0035129B">
        <w:rPr>
          <w:sz w:val="22"/>
        </w:rPr>
        <w:t xml:space="preserve">dann </w:t>
      </w:r>
      <w:r w:rsidR="0038016A">
        <w:rPr>
          <w:sz w:val="22"/>
        </w:rPr>
        <w:t>7 Mio. Euro Eigenmittel der Wohlfahrtsverbände)</w:t>
      </w:r>
      <w:r w:rsidR="00E77812">
        <w:rPr>
          <w:sz w:val="22"/>
        </w:rPr>
        <w:t>.</w:t>
      </w:r>
      <w:r w:rsidR="0035129B">
        <w:rPr>
          <w:sz w:val="22"/>
        </w:rPr>
        <w:t xml:space="preserve"> </w:t>
      </w:r>
      <w:r w:rsidR="00B113C7">
        <w:rPr>
          <w:sz w:val="22"/>
        </w:rPr>
        <w:t xml:space="preserve">Mit diesem Geld wären die Beratung von erwarteten 240.000 Fällen und die Finanzierung von 960 Vollzeitstellen im Jahr 2017 gesichert. Die Mittel müssen in einem nächsten Schritt </w:t>
      </w:r>
      <w:r w:rsidR="008F6C36">
        <w:rPr>
          <w:sz w:val="22"/>
        </w:rPr>
        <w:t xml:space="preserve">aber </w:t>
      </w:r>
      <w:r w:rsidR="00B113C7">
        <w:rPr>
          <w:sz w:val="22"/>
        </w:rPr>
        <w:t xml:space="preserve">weiter angehoben werden, um die Zahl der Beratungsfälle pro Vollzeitstelle auf ein wünschenswertes Niveau abzusenken. Es ist unverständlich, dass nach dem Regierungsentwurf die Mittel für die MBE unverändert fortgeschrieben werden sollen, obwohl auch nach dem Schwerpunktepapier des Bundesministeriums des Innern zum Einzelplan 06 (Ausschussdrucksache 18(4)637, S. 94) „die Leistungsanforderungen an die MBE weiter steigen“ werden und „mit wesentlich mehr schutzberechtigten Flüchtlingen in den Beratungseinrichtungen zu rechnen ist als in den vorausgegangenen Jahren“. Ein gutes Beratungsangebot </w:t>
      </w:r>
      <w:r w:rsidR="008F6C36">
        <w:rPr>
          <w:sz w:val="22"/>
        </w:rPr>
        <w:t>trägt unter</w:t>
      </w:r>
      <w:r w:rsidR="00B113C7">
        <w:rPr>
          <w:sz w:val="22"/>
        </w:rPr>
        <w:t xml:space="preserve"> anderem dazu </w:t>
      </w:r>
      <w:r w:rsidR="008F6C36">
        <w:rPr>
          <w:sz w:val="22"/>
        </w:rPr>
        <w:t>bei</w:t>
      </w:r>
      <w:r w:rsidR="00B113C7">
        <w:rPr>
          <w:sz w:val="22"/>
        </w:rPr>
        <w:t>, dass Betroffene schneller unabhängig von staatlichen Hilfsleistungen werden</w:t>
      </w:r>
      <w:r w:rsidR="00DC1FDC">
        <w:rPr>
          <w:sz w:val="22"/>
        </w:rPr>
        <w:t>, was im allseitigen Interesse liegt</w:t>
      </w:r>
      <w:r w:rsidR="00B113C7">
        <w:rPr>
          <w:sz w:val="22"/>
        </w:rPr>
        <w:t xml:space="preserve">. </w:t>
      </w:r>
    </w:p>
    <w:p w:rsidR="00B113C7" w:rsidRDefault="00B113C7" w:rsidP="009D37B0">
      <w:pPr>
        <w:tabs>
          <w:tab w:val="right" w:pos="7938"/>
        </w:tabs>
        <w:rPr>
          <w:sz w:val="22"/>
        </w:rPr>
      </w:pPr>
    </w:p>
    <w:p w:rsidR="0047033D" w:rsidRDefault="00DC1FDC" w:rsidP="009D37B0">
      <w:pPr>
        <w:tabs>
          <w:tab w:val="right" w:pos="7938"/>
        </w:tabs>
        <w:rPr>
          <w:sz w:val="22"/>
        </w:rPr>
      </w:pPr>
      <w:r>
        <w:rPr>
          <w:sz w:val="22"/>
        </w:rPr>
        <w:t>Die Proj</w:t>
      </w:r>
      <w:r w:rsidR="008F6C36">
        <w:rPr>
          <w:sz w:val="22"/>
        </w:rPr>
        <w:t>ektförderung muss angesichts des gestiegenen Bedarfs</w:t>
      </w:r>
      <w:r>
        <w:rPr>
          <w:sz w:val="22"/>
        </w:rPr>
        <w:t xml:space="preserve">, neuer Zielgruppen und Förderfelder weiter ausgebaut werden. </w:t>
      </w:r>
      <w:r w:rsidR="00601BA6">
        <w:rPr>
          <w:sz w:val="22"/>
        </w:rPr>
        <w:t xml:space="preserve">Der Regierungsentwurf sieht demgegenüber eine unveränderte Fortschreibung der Mittel vor. </w:t>
      </w:r>
    </w:p>
    <w:p w:rsidR="0047033D" w:rsidRDefault="00F164FF" w:rsidP="009D37B0">
      <w:pPr>
        <w:tabs>
          <w:tab w:val="right" w:pos="7938"/>
        </w:tabs>
        <w:rPr>
          <w:sz w:val="22"/>
        </w:rPr>
      </w:pPr>
      <w:r>
        <w:rPr>
          <w:sz w:val="22"/>
        </w:rPr>
        <w:t>Nach einer Sachinformation des Bundesministeriums des Innern vom 12. September 2016 an den Abgeordneten Roland Claus sollen die Mittel für niedrigschwellige Frauenkurs</w:t>
      </w:r>
      <w:r w:rsidR="008F6C36">
        <w:rPr>
          <w:sz w:val="22"/>
        </w:rPr>
        <w:t>e</w:t>
      </w:r>
      <w:r>
        <w:rPr>
          <w:sz w:val="22"/>
        </w:rPr>
        <w:t xml:space="preserve"> von 1,6 Mio. auf 1,3 Mio. Euro </w:t>
      </w:r>
      <w:r w:rsidR="008F6C36">
        <w:rPr>
          <w:sz w:val="22"/>
        </w:rPr>
        <w:t>gekürzt</w:t>
      </w:r>
      <w:r>
        <w:rPr>
          <w:sz w:val="22"/>
        </w:rPr>
        <w:t xml:space="preserve"> werden</w:t>
      </w:r>
      <w:r w:rsidR="008F6C36">
        <w:rPr>
          <w:sz w:val="22"/>
        </w:rPr>
        <w:t>,</w:t>
      </w:r>
      <w:r>
        <w:rPr>
          <w:sz w:val="22"/>
        </w:rPr>
        <w:t xml:space="preserve"> obwohl die Bundesregierung diesen Kursen</w:t>
      </w:r>
      <w:r w:rsidR="0047033D">
        <w:rPr>
          <w:sz w:val="22"/>
        </w:rPr>
        <w:t xml:space="preserve"> bereits</w:t>
      </w:r>
      <w:r>
        <w:rPr>
          <w:sz w:val="22"/>
        </w:rPr>
        <w:t xml:space="preserve"> in der Vergangenheit eine </w:t>
      </w:r>
      <w:r w:rsidRPr="00F164FF">
        <w:rPr>
          <w:sz w:val="22"/>
        </w:rPr>
        <w:t>„erfolgreiche Bilanz“ bescheinigt hatte (vgl. Bundestagsdrucksache 18/160, zu Frage 6).</w:t>
      </w:r>
      <w:r>
        <w:rPr>
          <w:sz w:val="22"/>
        </w:rPr>
        <w:t xml:space="preserve"> Dieses spezifische Angebot sollte nicht zuletzt angesichts der gestiegenen Flüchtlingszahlen deutlich aus-, statt abgebaut werden. </w:t>
      </w:r>
    </w:p>
    <w:p w:rsidR="00601BA6" w:rsidRDefault="00BF6F0A" w:rsidP="009D37B0">
      <w:pPr>
        <w:tabs>
          <w:tab w:val="right" w:pos="7938"/>
        </w:tabs>
        <w:rPr>
          <w:sz w:val="22"/>
        </w:rPr>
      </w:pPr>
      <w:r>
        <w:rPr>
          <w:sz w:val="22"/>
        </w:rPr>
        <w:t xml:space="preserve">Auch Maßnahmen zur Unterstützung und Professionalisierung </w:t>
      </w:r>
      <w:r w:rsidR="0047033D">
        <w:rPr>
          <w:sz w:val="22"/>
        </w:rPr>
        <w:t xml:space="preserve">des </w:t>
      </w:r>
      <w:r>
        <w:rPr>
          <w:sz w:val="22"/>
        </w:rPr>
        <w:t xml:space="preserve">ehrenamtlichen Engagements müssen </w:t>
      </w:r>
      <w:r w:rsidR="0047033D">
        <w:rPr>
          <w:sz w:val="22"/>
        </w:rPr>
        <w:t xml:space="preserve">wirksam verstärkt werden, um die breite zivilgesellschaftliche Unterstützung insbesondere für Geflüchtete staatlicherseits nicht nur verbal zu würdigen, sondern auch materiell zu fördern.   </w:t>
      </w:r>
    </w:p>
    <w:p w:rsidR="00D1609D" w:rsidRDefault="0047033D" w:rsidP="009D37B0">
      <w:pPr>
        <w:tabs>
          <w:tab w:val="right" w:pos="7938"/>
        </w:tabs>
        <w:rPr>
          <w:sz w:val="22"/>
        </w:rPr>
      </w:pPr>
      <w:r>
        <w:rPr>
          <w:sz w:val="22"/>
        </w:rPr>
        <w:t>Ebenso wichtig ist die Fortsetzung und A</w:t>
      </w:r>
      <w:r w:rsidR="008F6C36">
        <w:rPr>
          <w:sz w:val="22"/>
        </w:rPr>
        <w:t xml:space="preserve">usweitung der Strukturförderung von </w:t>
      </w:r>
      <w:r>
        <w:rPr>
          <w:sz w:val="22"/>
        </w:rPr>
        <w:t xml:space="preserve">Migrantenorganisationen, </w:t>
      </w:r>
      <w:r w:rsidR="008F6C36">
        <w:rPr>
          <w:sz w:val="22"/>
        </w:rPr>
        <w:t xml:space="preserve">zumal diese </w:t>
      </w:r>
      <w:r>
        <w:rPr>
          <w:sz w:val="22"/>
        </w:rPr>
        <w:t xml:space="preserve">aktuell auch </w:t>
      </w:r>
      <w:r w:rsidR="008F6C36">
        <w:rPr>
          <w:sz w:val="22"/>
        </w:rPr>
        <w:t xml:space="preserve">bei der Integration der Geflüchteten eine wichtige </w:t>
      </w:r>
      <w:r>
        <w:rPr>
          <w:sz w:val="22"/>
        </w:rPr>
        <w:t>aktiv</w:t>
      </w:r>
      <w:r w:rsidR="008F6C36">
        <w:rPr>
          <w:sz w:val="22"/>
        </w:rPr>
        <w:t>e Rolle einnehmen</w:t>
      </w:r>
      <w:r w:rsidR="00D4190F">
        <w:rPr>
          <w:sz w:val="22"/>
        </w:rPr>
        <w:t xml:space="preserve">. Nach der oben genannten Sachinformation sollen künftig jedoch nur noch sieben statt bisher </w:t>
      </w:r>
      <w:r w:rsidR="00D4190F">
        <w:rPr>
          <w:sz w:val="22"/>
        </w:rPr>
        <w:lastRenderedPageBreak/>
        <w:t>zehn Dachverbände von Migrantenorganisationen eine Strukturförderung erhalten</w:t>
      </w:r>
      <w:r w:rsidR="008F6C36">
        <w:rPr>
          <w:sz w:val="22"/>
        </w:rPr>
        <w:t xml:space="preserve"> </w:t>
      </w:r>
      <w:r w:rsidR="00D4190F">
        <w:rPr>
          <w:sz w:val="22"/>
        </w:rPr>
        <w:t xml:space="preserve">–  das ist nicht akzeptabel. Auch erscheint es unverhältnismäßig, bei einer geplanten Fördersumme von 770.000 Euro 100.000 Euro für eine begleitende Evaluierung vorzusehen. Die Ausweitung der Strukturförderung auf Migrantendachorganisationen, die schwerpunktmäßig in der Flüchtlingshilfe aktiv sind, ist grundsätzlich zu begrüßen, geht es doch unter anderem um die </w:t>
      </w:r>
      <w:r w:rsidR="00D1609D" w:rsidRPr="00D1609D">
        <w:rPr>
          <w:sz w:val="22"/>
        </w:rPr>
        <w:t xml:space="preserve">Integration </w:t>
      </w:r>
      <w:r>
        <w:rPr>
          <w:sz w:val="22"/>
        </w:rPr>
        <w:t xml:space="preserve">Hunderttausender </w:t>
      </w:r>
      <w:r w:rsidR="00D1609D" w:rsidRPr="00D1609D">
        <w:rPr>
          <w:sz w:val="22"/>
        </w:rPr>
        <w:t>syrischer Flüchtlinge</w:t>
      </w:r>
      <w:r w:rsidR="007C1A7B">
        <w:rPr>
          <w:sz w:val="22"/>
        </w:rPr>
        <w:t xml:space="preserve">, </w:t>
      </w:r>
      <w:r w:rsidR="008F6C36">
        <w:rPr>
          <w:sz w:val="22"/>
        </w:rPr>
        <w:t xml:space="preserve">von denen viele </w:t>
      </w:r>
      <w:r w:rsidR="007C1A7B">
        <w:rPr>
          <w:sz w:val="22"/>
        </w:rPr>
        <w:t>dauerhaft in Deutschland bleiben werden</w:t>
      </w:r>
      <w:r w:rsidR="00D4190F">
        <w:rPr>
          <w:sz w:val="22"/>
        </w:rPr>
        <w:t xml:space="preserve">. Dies darf aber nicht zulasten der Unterstützung von Migrantenorganisationen erfolgen, die sich vorrangig um </w:t>
      </w:r>
      <w:r w:rsidR="00F32B23">
        <w:rPr>
          <w:sz w:val="22"/>
        </w:rPr>
        <w:t>bereits seit längerem</w:t>
      </w:r>
      <w:r w:rsidR="00D4190F">
        <w:rPr>
          <w:sz w:val="22"/>
        </w:rPr>
        <w:t xml:space="preserve"> hier lebende Migrantinnen und Migranten oder um </w:t>
      </w:r>
      <w:r w:rsidR="00F32B23">
        <w:rPr>
          <w:sz w:val="22"/>
        </w:rPr>
        <w:t>Eingewanderte</w:t>
      </w:r>
      <w:r w:rsidR="00D4190F">
        <w:rPr>
          <w:sz w:val="22"/>
        </w:rPr>
        <w:t xml:space="preserve"> aus anderen EU-Mitgliedstaaten kümmern</w:t>
      </w:r>
      <w:r w:rsidR="00F32B23">
        <w:rPr>
          <w:sz w:val="22"/>
        </w:rPr>
        <w:t>, von denen viele in den letzten Jahren vor allem aus osteuropäischen Ländern gekommen sind</w:t>
      </w:r>
      <w:r w:rsidR="00D4190F">
        <w:rPr>
          <w:sz w:val="22"/>
        </w:rPr>
        <w:t xml:space="preserve">. </w:t>
      </w:r>
      <w:r>
        <w:rPr>
          <w:sz w:val="22"/>
        </w:rPr>
        <w:t>Insgesamt</w:t>
      </w:r>
      <w:r w:rsidR="007C1A7B">
        <w:rPr>
          <w:sz w:val="22"/>
        </w:rPr>
        <w:t xml:space="preserve"> wird </w:t>
      </w:r>
      <w:r>
        <w:rPr>
          <w:sz w:val="22"/>
        </w:rPr>
        <w:t xml:space="preserve">für die Projektförderung im Integrationsbereich deshalb </w:t>
      </w:r>
      <w:r w:rsidR="00D1609D" w:rsidRPr="00D1609D">
        <w:rPr>
          <w:sz w:val="22"/>
        </w:rPr>
        <w:t>eine Aufstockung um 1</w:t>
      </w:r>
      <w:r w:rsidR="00BF6F0A">
        <w:rPr>
          <w:sz w:val="22"/>
        </w:rPr>
        <w:t>3</w:t>
      </w:r>
      <w:r w:rsidR="00D1609D" w:rsidRPr="00D1609D">
        <w:rPr>
          <w:sz w:val="22"/>
        </w:rPr>
        <w:t xml:space="preserve"> Mio. €</w:t>
      </w:r>
      <w:r w:rsidR="007C1A7B">
        <w:rPr>
          <w:sz w:val="22"/>
        </w:rPr>
        <w:t xml:space="preserve"> gefordert</w:t>
      </w:r>
      <w:r w:rsidR="00D1609D" w:rsidRPr="00D1609D">
        <w:rPr>
          <w:sz w:val="22"/>
        </w:rPr>
        <w:t>.</w:t>
      </w:r>
    </w:p>
    <w:p w:rsidR="00D1609D" w:rsidRDefault="00D1609D" w:rsidP="009D37B0">
      <w:pPr>
        <w:tabs>
          <w:tab w:val="right" w:pos="7938"/>
        </w:tabs>
        <w:rPr>
          <w:sz w:val="22"/>
        </w:rPr>
      </w:pPr>
    </w:p>
    <w:p w:rsidR="00D1609D" w:rsidRDefault="00D1609D" w:rsidP="009D37B0">
      <w:pPr>
        <w:tabs>
          <w:tab w:val="right" w:pos="7938"/>
        </w:tabs>
        <w:rPr>
          <w:sz w:val="22"/>
        </w:rPr>
      </w:pPr>
    </w:p>
    <w:p w:rsidR="00D1609D" w:rsidRDefault="00D1609D" w:rsidP="009D37B0">
      <w:pPr>
        <w:tabs>
          <w:tab w:val="right" w:pos="7938"/>
        </w:tabs>
        <w:rPr>
          <w:sz w:val="22"/>
        </w:rPr>
      </w:pPr>
    </w:p>
    <w:sectPr w:rsidR="00D1609D" w:rsidSect="00FD6E94">
      <w:pgSz w:w="11906" w:h="16838"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837" w:rsidRDefault="00336837" w:rsidP="00E27A24">
      <w:r>
        <w:separator/>
      </w:r>
    </w:p>
  </w:endnote>
  <w:endnote w:type="continuationSeparator" w:id="0">
    <w:p w:rsidR="00336837" w:rsidRDefault="00336837" w:rsidP="00E2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poS">
    <w:panose1 w:val="00000000000000000000"/>
    <w:charset w:val="00"/>
    <w:family w:val="auto"/>
    <w:pitch w:val="variable"/>
    <w:sig w:usb0="A00001AF" w:usb1="100078FB"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837" w:rsidRDefault="00336837" w:rsidP="00E27A24">
      <w:r>
        <w:separator/>
      </w:r>
    </w:p>
  </w:footnote>
  <w:footnote w:type="continuationSeparator" w:id="0">
    <w:p w:rsidR="00336837" w:rsidRDefault="00336837" w:rsidP="00E27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A6977"/>
    <w:multiLevelType w:val="singleLevel"/>
    <w:tmpl w:val="EAEC00F0"/>
    <w:lvl w:ilvl="0">
      <w:start w:val="15"/>
      <w:numFmt w:val="bullet"/>
      <w:lvlText w:val="-"/>
      <w:lvlJc w:val="left"/>
      <w:pPr>
        <w:tabs>
          <w:tab w:val="num" w:pos="360"/>
        </w:tabs>
        <w:ind w:left="360" w:hanging="360"/>
      </w:pPr>
      <w:rPr>
        <w:rFonts w:hint="default"/>
      </w:rPr>
    </w:lvl>
  </w:abstractNum>
  <w:abstractNum w:abstractNumId="1" w15:restartNumberingAfterBreak="0">
    <w:nsid w:val="7B3D1D32"/>
    <w:multiLevelType w:val="hybridMultilevel"/>
    <w:tmpl w:val="DD4AF100"/>
    <w:lvl w:ilvl="0" w:tplc="FA94B914">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AENDERUNGSANTRAG"/>
  </w:docVars>
  <w:rsids>
    <w:rsidRoot w:val="00B65EC4"/>
    <w:rsid w:val="000046D5"/>
    <w:rsid w:val="000241D7"/>
    <w:rsid w:val="00032E65"/>
    <w:rsid w:val="00040BC2"/>
    <w:rsid w:val="000459B1"/>
    <w:rsid w:val="000471FE"/>
    <w:rsid w:val="00050F39"/>
    <w:rsid w:val="0005465C"/>
    <w:rsid w:val="00054B8E"/>
    <w:rsid w:val="000652FE"/>
    <w:rsid w:val="00077551"/>
    <w:rsid w:val="00082559"/>
    <w:rsid w:val="00085E67"/>
    <w:rsid w:val="000922FA"/>
    <w:rsid w:val="00096C92"/>
    <w:rsid w:val="00097847"/>
    <w:rsid w:val="000B25B4"/>
    <w:rsid w:val="000B5607"/>
    <w:rsid w:val="000B77EF"/>
    <w:rsid w:val="000C6C47"/>
    <w:rsid w:val="000D0803"/>
    <w:rsid w:val="000D5C4B"/>
    <w:rsid w:val="000E58D3"/>
    <w:rsid w:val="00103ED9"/>
    <w:rsid w:val="00104948"/>
    <w:rsid w:val="00122084"/>
    <w:rsid w:val="0012517B"/>
    <w:rsid w:val="00131F2F"/>
    <w:rsid w:val="001334E6"/>
    <w:rsid w:val="001416B6"/>
    <w:rsid w:val="001575FC"/>
    <w:rsid w:val="001841D1"/>
    <w:rsid w:val="00184B0C"/>
    <w:rsid w:val="001906A4"/>
    <w:rsid w:val="001A1322"/>
    <w:rsid w:val="001D28E7"/>
    <w:rsid w:val="001E3905"/>
    <w:rsid w:val="001F1073"/>
    <w:rsid w:val="001F210A"/>
    <w:rsid w:val="001F6CD0"/>
    <w:rsid w:val="001F73DB"/>
    <w:rsid w:val="00217168"/>
    <w:rsid w:val="00217933"/>
    <w:rsid w:val="00224D67"/>
    <w:rsid w:val="00237D66"/>
    <w:rsid w:val="00245E48"/>
    <w:rsid w:val="00247257"/>
    <w:rsid w:val="00247D01"/>
    <w:rsid w:val="002509D8"/>
    <w:rsid w:val="00257DBF"/>
    <w:rsid w:val="00274679"/>
    <w:rsid w:val="0027794A"/>
    <w:rsid w:val="002875AB"/>
    <w:rsid w:val="002A115B"/>
    <w:rsid w:val="002C0B8B"/>
    <w:rsid w:val="002D5FE1"/>
    <w:rsid w:val="002F1C43"/>
    <w:rsid w:val="0031251F"/>
    <w:rsid w:val="00336837"/>
    <w:rsid w:val="00341785"/>
    <w:rsid w:val="00350B24"/>
    <w:rsid w:val="0035129B"/>
    <w:rsid w:val="003649D2"/>
    <w:rsid w:val="00373A14"/>
    <w:rsid w:val="0038016A"/>
    <w:rsid w:val="00380653"/>
    <w:rsid w:val="0038469A"/>
    <w:rsid w:val="00386A1F"/>
    <w:rsid w:val="003C2892"/>
    <w:rsid w:val="003C34DB"/>
    <w:rsid w:val="003F1994"/>
    <w:rsid w:val="00400AE0"/>
    <w:rsid w:val="00412C2E"/>
    <w:rsid w:val="00416DE4"/>
    <w:rsid w:val="00421ADD"/>
    <w:rsid w:val="004238CA"/>
    <w:rsid w:val="00431DA2"/>
    <w:rsid w:val="00461B91"/>
    <w:rsid w:val="00465FE4"/>
    <w:rsid w:val="00467555"/>
    <w:rsid w:val="004675F7"/>
    <w:rsid w:val="0047033D"/>
    <w:rsid w:val="00471303"/>
    <w:rsid w:val="004C1F2F"/>
    <w:rsid w:val="004D7B50"/>
    <w:rsid w:val="004E5F46"/>
    <w:rsid w:val="004E6A2C"/>
    <w:rsid w:val="005047AF"/>
    <w:rsid w:val="00507A41"/>
    <w:rsid w:val="0052584E"/>
    <w:rsid w:val="005309CE"/>
    <w:rsid w:val="005322BF"/>
    <w:rsid w:val="00534EC2"/>
    <w:rsid w:val="00544C14"/>
    <w:rsid w:val="0054623F"/>
    <w:rsid w:val="00557EF6"/>
    <w:rsid w:val="005769CE"/>
    <w:rsid w:val="00594D23"/>
    <w:rsid w:val="00596E3E"/>
    <w:rsid w:val="0059739C"/>
    <w:rsid w:val="005B5FE3"/>
    <w:rsid w:val="005B73D5"/>
    <w:rsid w:val="005D1115"/>
    <w:rsid w:val="005D77F8"/>
    <w:rsid w:val="005D7E81"/>
    <w:rsid w:val="005E6F8F"/>
    <w:rsid w:val="00601BA6"/>
    <w:rsid w:val="00602466"/>
    <w:rsid w:val="0060744C"/>
    <w:rsid w:val="006113BB"/>
    <w:rsid w:val="006307B9"/>
    <w:rsid w:val="006335C5"/>
    <w:rsid w:val="00644780"/>
    <w:rsid w:val="00670C81"/>
    <w:rsid w:val="006742B3"/>
    <w:rsid w:val="00677007"/>
    <w:rsid w:val="0069782C"/>
    <w:rsid w:val="00697E32"/>
    <w:rsid w:val="006A04B1"/>
    <w:rsid w:val="006A68EF"/>
    <w:rsid w:val="006B0334"/>
    <w:rsid w:val="006B1E7E"/>
    <w:rsid w:val="006C20DE"/>
    <w:rsid w:val="006C3A62"/>
    <w:rsid w:val="006C68CC"/>
    <w:rsid w:val="006D1671"/>
    <w:rsid w:val="006E56ED"/>
    <w:rsid w:val="006F543B"/>
    <w:rsid w:val="007008A7"/>
    <w:rsid w:val="007028FC"/>
    <w:rsid w:val="00715C1A"/>
    <w:rsid w:val="007360B3"/>
    <w:rsid w:val="00764E19"/>
    <w:rsid w:val="00770D19"/>
    <w:rsid w:val="00782B67"/>
    <w:rsid w:val="007954F9"/>
    <w:rsid w:val="007A5410"/>
    <w:rsid w:val="007B1F8D"/>
    <w:rsid w:val="007B4E20"/>
    <w:rsid w:val="007B54EE"/>
    <w:rsid w:val="007B6F7C"/>
    <w:rsid w:val="007C15EF"/>
    <w:rsid w:val="007C1A7B"/>
    <w:rsid w:val="007D706B"/>
    <w:rsid w:val="007E2DA3"/>
    <w:rsid w:val="007E539B"/>
    <w:rsid w:val="007F4363"/>
    <w:rsid w:val="007F7E4E"/>
    <w:rsid w:val="00806FB0"/>
    <w:rsid w:val="008173C6"/>
    <w:rsid w:val="008177B7"/>
    <w:rsid w:val="00830178"/>
    <w:rsid w:val="008333F8"/>
    <w:rsid w:val="008519AF"/>
    <w:rsid w:val="00880BFB"/>
    <w:rsid w:val="008830C7"/>
    <w:rsid w:val="00895C2D"/>
    <w:rsid w:val="008A27BE"/>
    <w:rsid w:val="008B1D93"/>
    <w:rsid w:val="008C78CD"/>
    <w:rsid w:val="008D6C35"/>
    <w:rsid w:val="008E5587"/>
    <w:rsid w:val="008F6C36"/>
    <w:rsid w:val="00903410"/>
    <w:rsid w:val="00904661"/>
    <w:rsid w:val="00913DC2"/>
    <w:rsid w:val="00922EDF"/>
    <w:rsid w:val="00940CE8"/>
    <w:rsid w:val="00951EA9"/>
    <w:rsid w:val="00971F49"/>
    <w:rsid w:val="00974C41"/>
    <w:rsid w:val="009A087B"/>
    <w:rsid w:val="009A1078"/>
    <w:rsid w:val="009B5740"/>
    <w:rsid w:val="009C6726"/>
    <w:rsid w:val="009C76DA"/>
    <w:rsid w:val="009D37B0"/>
    <w:rsid w:val="009E5AB1"/>
    <w:rsid w:val="009E7FDB"/>
    <w:rsid w:val="009F012A"/>
    <w:rsid w:val="009F1417"/>
    <w:rsid w:val="009F56AD"/>
    <w:rsid w:val="009F7047"/>
    <w:rsid w:val="009F7C35"/>
    <w:rsid w:val="00A13976"/>
    <w:rsid w:val="00A24207"/>
    <w:rsid w:val="00A3707E"/>
    <w:rsid w:val="00A53BBC"/>
    <w:rsid w:val="00A540AE"/>
    <w:rsid w:val="00A57A58"/>
    <w:rsid w:val="00A60216"/>
    <w:rsid w:val="00A6362E"/>
    <w:rsid w:val="00A839CB"/>
    <w:rsid w:val="00A85C51"/>
    <w:rsid w:val="00A91692"/>
    <w:rsid w:val="00A958BA"/>
    <w:rsid w:val="00A95B05"/>
    <w:rsid w:val="00AB22CD"/>
    <w:rsid w:val="00AB7E32"/>
    <w:rsid w:val="00AF1C85"/>
    <w:rsid w:val="00AF3B36"/>
    <w:rsid w:val="00B01BFF"/>
    <w:rsid w:val="00B113C7"/>
    <w:rsid w:val="00B12E81"/>
    <w:rsid w:val="00B35ACE"/>
    <w:rsid w:val="00B423D3"/>
    <w:rsid w:val="00B47070"/>
    <w:rsid w:val="00B51FAE"/>
    <w:rsid w:val="00B57084"/>
    <w:rsid w:val="00B613D1"/>
    <w:rsid w:val="00B65EC4"/>
    <w:rsid w:val="00B72198"/>
    <w:rsid w:val="00B81505"/>
    <w:rsid w:val="00B87CBE"/>
    <w:rsid w:val="00B90A0B"/>
    <w:rsid w:val="00BB739A"/>
    <w:rsid w:val="00BB7D62"/>
    <w:rsid w:val="00BD16A7"/>
    <w:rsid w:val="00BD4C85"/>
    <w:rsid w:val="00BE684F"/>
    <w:rsid w:val="00BF6F0A"/>
    <w:rsid w:val="00C0656A"/>
    <w:rsid w:val="00C0698E"/>
    <w:rsid w:val="00C1052F"/>
    <w:rsid w:val="00C1740A"/>
    <w:rsid w:val="00C223A2"/>
    <w:rsid w:val="00C24A12"/>
    <w:rsid w:val="00C255E7"/>
    <w:rsid w:val="00C30873"/>
    <w:rsid w:val="00C32D6D"/>
    <w:rsid w:val="00C32EBF"/>
    <w:rsid w:val="00C32FE4"/>
    <w:rsid w:val="00C427CF"/>
    <w:rsid w:val="00C47C19"/>
    <w:rsid w:val="00C5529E"/>
    <w:rsid w:val="00C65585"/>
    <w:rsid w:val="00C801D1"/>
    <w:rsid w:val="00C9386D"/>
    <w:rsid w:val="00C96FD5"/>
    <w:rsid w:val="00CA465E"/>
    <w:rsid w:val="00CB293B"/>
    <w:rsid w:val="00CC303C"/>
    <w:rsid w:val="00CC7CC6"/>
    <w:rsid w:val="00CD0764"/>
    <w:rsid w:val="00D00CC2"/>
    <w:rsid w:val="00D038E6"/>
    <w:rsid w:val="00D05ACB"/>
    <w:rsid w:val="00D103D5"/>
    <w:rsid w:val="00D1609D"/>
    <w:rsid w:val="00D2046A"/>
    <w:rsid w:val="00D21CAA"/>
    <w:rsid w:val="00D4190F"/>
    <w:rsid w:val="00D425CD"/>
    <w:rsid w:val="00D51093"/>
    <w:rsid w:val="00D70CD9"/>
    <w:rsid w:val="00D72312"/>
    <w:rsid w:val="00D824FE"/>
    <w:rsid w:val="00D9003F"/>
    <w:rsid w:val="00D91305"/>
    <w:rsid w:val="00DA781A"/>
    <w:rsid w:val="00DC1FDC"/>
    <w:rsid w:val="00DD2F49"/>
    <w:rsid w:val="00DD5B86"/>
    <w:rsid w:val="00DE755C"/>
    <w:rsid w:val="00DF3B53"/>
    <w:rsid w:val="00E00C90"/>
    <w:rsid w:val="00E02B43"/>
    <w:rsid w:val="00E037D6"/>
    <w:rsid w:val="00E203F4"/>
    <w:rsid w:val="00E24BC0"/>
    <w:rsid w:val="00E27A24"/>
    <w:rsid w:val="00E3791A"/>
    <w:rsid w:val="00E42304"/>
    <w:rsid w:val="00E45DCB"/>
    <w:rsid w:val="00E46B68"/>
    <w:rsid w:val="00E47F5E"/>
    <w:rsid w:val="00E535A9"/>
    <w:rsid w:val="00E77812"/>
    <w:rsid w:val="00E779FB"/>
    <w:rsid w:val="00E922FE"/>
    <w:rsid w:val="00E97EAB"/>
    <w:rsid w:val="00EB0FCD"/>
    <w:rsid w:val="00EC11BF"/>
    <w:rsid w:val="00EC6BED"/>
    <w:rsid w:val="00EC744E"/>
    <w:rsid w:val="00ED1CD8"/>
    <w:rsid w:val="00EE0AA5"/>
    <w:rsid w:val="00EF0647"/>
    <w:rsid w:val="00EF3C61"/>
    <w:rsid w:val="00EF6F7B"/>
    <w:rsid w:val="00F0344E"/>
    <w:rsid w:val="00F15892"/>
    <w:rsid w:val="00F164FF"/>
    <w:rsid w:val="00F23424"/>
    <w:rsid w:val="00F32B23"/>
    <w:rsid w:val="00F339DD"/>
    <w:rsid w:val="00F400DD"/>
    <w:rsid w:val="00F40FB7"/>
    <w:rsid w:val="00F51538"/>
    <w:rsid w:val="00F6778A"/>
    <w:rsid w:val="00F74422"/>
    <w:rsid w:val="00F91294"/>
    <w:rsid w:val="00FA1AF5"/>
    <w:rsid w:val="00FB187C"/>
    <w:rsid w:val="00FB48AD"/>
    <w:rsid w:val="00FB7CB1"/>
    <w:rsid w:val="00FD6E94"/>
    <w:rsid w:val="00FD6F8B"/>
    <w:rsid w:val="00FE79E5"/>
    <w:rsid w:val="00FF0F13"/>
    <w:rsid w:val="00FF3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6B8E443-CB89-4B4A-AFA9-1947701E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6E94"/>
  </w:style>
  <w:style w:type="paragraph" w:styleId="berschrift1">
    <w:name w:val="heading 1"/>
    <w:basedOn w:val="Standard"/>
    <w:next w:val="Standard"/>
    <w:link w:val="berschrift1Zchn"/>
    <w:uiPriority w:val="99"/>
    <w:qFormat/>
    <w:rsid w:val="00FD6E94"/>
    <w:pPr>
      <w:keepNext/>
      <w:tabs>
        <w:tab w:val="right" w:pos="7938"/>
      </w:tabs>
      <w:outlineLvl w:val="0"/>
    </w:pPr>
    <w:rPr>
      <w:rFonts w:ascii="Arial" w:hAnsi="Arial"/>
      <w:b/>
      <w:sz w:val="32"/>
    </w:rPr>
  </w:style>
  <w:style w:type="paragraph" w:styleId="berschrift2">
    <w:name w:val="heading 2"/>
    <w:basedOn w:val="Standard"/>
    <w:next w:val="Standard"/>
    <w:link w:val="berschrift2Zchn"/>
    <w:uiPriority w:val="99"/>
    <w:qFormat/>
    <w:rsid w:val="00FD6E94"/>
    <w:pPr>
      <w:keepNext/>
      <w:outlineLvl w:val="1"/>
    </w:pPr>
    <w:rPr>
      <w:rFonts w:ascii="Arial" w:hAnsi="Arial"/>
      <w:b/>
      <w:sz w:val="24"/>
    </w:rPr>
  </w:style>
  <w:style w:type="paragraph" w:styleId="berschrift3">
    <w:name w:val="heading 3"/>
    <w:basedOn w:val="Standard"/>
    <w:next w:val="Standard"/>
    <w:link w:val="berschrift3Zchn"/>
    <w:uiPriority w:val="99"/>
    <w:qFormat/>
    <w:rsid w:val="00FD6E94"/>
    <w:pPr>
      <w:keepNext/>
      <w:spacing w:before="240" w:after="60"/>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styleId="Textkrper">
    <w:name w:val="Body Text"/>
    <w:basedOn w:val="Standard"/>
    <w:link w:val="TextkrperZchn"/>
    <w:uiPriority w:val="99"/>
    <w:rsid w:val="00FD6E94"/>
    <w:pPr>
      <w:tabs>
        <w:tab w:val="right" w:pos="7938"/>
      </w:tabs>
    </w:pPr>
    <w:rPr>
      <w:sz w:val="22"/>
    </w:rPr>
  </w:style>
  <w:style w:type="character" w:customStyle="1" w:styleId="TextkrperZchn">
    <w:name w:val="Textkörper Zchn"/>
    <w:link w:val="Textkrper"/>
    <w:uiPriority w:val="99"/>
    <w:semiHidden/>
    <w:rPr>
      <w:sz w:val="20"/>
      <w:szCs w:val="20"/>
    </w:rPr>
  </w:style>
  <w:style w:type="paragraph" w:styleId="Funotentext">
    <w:name w:val="footnote text"/>
    <w:basedOn w:val="Standard"/>
    <w:link w:val="FunotentextZchn"/>
    <w:semiHidden/>
    <w:rsid w:val="00E27A24"/>
    <w:rPr>
      <w:rFonts w:ascii="CorpoS" w:hAnsi="CorpoS"/>
    </w:rPr>
  </w:style>
  <w:style w:type="character" w:customStyle="1" w:styleId="FunotentextZchn">
    <w:name w:val="Fußnotentext Zchn"/>
    <w:link w:val="Funotentext"/>
    <w:semiHidden/>
    <w:rsid w:val="00E27A24"/>
    <w:rPr>
      <w:rFonts w:ascii="CorpoS" w:hAnsi="CorpoS"/>
    </w:rPr>
  </w:style>
  <w:style w:type="character" w:styleId="Funotenzeichen">
    <w:name w:val="footnote reference"/>
    <w:semiHidden/>
    <w:rsid w:val="00E27A24"/>
    <w:rPr>
      <w:vertAlign w:val="superscript"/>
    </w:rPr>
  </w:style>
  <w:style w:type="paragraph" w:styleId="Sprechblasentext">
    <w:name w:val="Balloon Text"/>
    <w:basedOn w:val="Standard"/>
    <w:link w:val="SprechblasentextZchn"/>
    <w:uiPriority w:val="99"/>
    <w:semiHidden/>
    <w:unhideWhenUsed/>
    <w:rsid w:val="009F1417"/>
    <w:rPr>
      <w:rFonts w:ascii="Tahoma" w:hAnsi="Tahoma" w:cs="Tahoma"/>
      <w:sz w:val="16"/>
      <w:szCs w:val="16"/>
    </w:rPr>
  </w:style>
  <w:style w:type="character" w:customStyle="1" w:styleId="SprechblasentextZchn">
    <w:name w:val="Sprechblasentext Zchn"/>
    <w:link w:val="Sprechblasentext"/>
    <w:uiPriority w:val="99"/>
    <w:semiHidden/>
    <w:rsid w:val="009F1417"/>
    <w:rPr>
      <w:rFonts w:ascii="Tahoma" w:hAnsi="Tahoma" w:cs="Tahoma"/>
      <w:sz w:val="16"/>
      <w:szCs w:val="16"/>
    </w:rPr>
  </w:style>
  <w:style w:type="character" w:styleId="Fett">
    <w:name w:val="Strong"/>
    <w:uiPriority w:val="22"/>
    <w:qFormat/>
    <w:locked/>
    <w:rsid w:val="001F210A"/>
    <w:rPr>
      <w:b/>
      <w:bCs/>
    </w:rPr>
  </w:style>
  <w:style w:type="character" w:styleId="Hyperlink">
    <w:name w:val="Hyperlink"/>
    <w:uiPriority w:val="99"/>
    <w:unhideWhenUsed/>
    <w:rsid w:val="003649D2"/>
    <w:rPr>
      <w:color w:val="0000FF"/>
      <w:u w:val="single"/>
    </w:rPr>
  </w:style>
  <w:style w:type="character" w:styleId="BesuchterHyperlink">
    <w:name w:val="FollowedHyperlink"/>
    <w:uiPriority w:val="99"/>
    <w:semiHidden/>
    <w:unhideWhenUsed/>
    <w:rsid w:val="00602466"/>
    <w:rPr>
      <w:color w:val="954F72"/>
      <w:u w:val="single"/>
    </w:rPr>
  </w:style>
  <w:style w:type="character" w:styleId="Kommentarzeichen">
    <w:name w:val="annotation reference"/>
    <w:uiPriority w:val="99"/>
    <w:semiHidden/>
    <w:unhideWhenUsed/>
    <w:rsid w:val="00A53BBC"/>
    <w:rPr>
      <w:sz w:val="16"/>
      <w:szCs w:val="16"/>
    </w:rPr>
  </w:style>
  <w:style w:type="paragraph" w:styleId="Kommentartext">
    <w:name w:val="annotation text"/>
    <w:basedOn w:val="Standard"/>
    <w:link w:val="KommentartextZchn"/>
    <w:uiPriority w:val="99"/>
    <w:semiHidden/>
    <w:unhideWhenUsed/>
    <w:rsid w:val="00A53BBC"/>
  </w:style>
  <w:style w:type="character" w:customStyle="1" w:styleId="KommentartextZchn">
    <w:name w:val="Kommentartext Zchn"/>
    <w:basedOn w:val="Absatz-Standardschriftart"/>
    <w:link w:val="Kommentartext"/>
    <w:uiPriority w:val="99"/>
    <w:semiHidden/>
    <w:rsid w:val="00A53BBC"/>
  </w:style>
  <w:style w:type="paragraph" w:styleId="Kommentarthema">
    <w:name w:val="annotation subject"/>
    <w:basedOn w:val="Kommentartext"/>
    <w:next w:val="Kommentartext"/>
    <w:link w:val="KommentarthemaZchn"/>
    <w:uiPriority w:val="99"/>
    <w:semiHidden/>
    <w:unhideWhenUsed/>
    <w:rsid w:val="00A53BBC"/>
    <w:rPr>
      <w:b/>
      <w:bCs/>
    </w:rPr>
  </w:style>
  <w:style w:type="character" w:customStyle="1" w:styleId="KommentarthemaZchn">
    <w:name w:val="Kommentarthema Zchn"/>
    <w:link w:val="Kommentarthema"/>
    <w:uiPriority w:val="99"/>
    <w:semiHidden/>
    <w:rsid w:val="00A53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5072">
      <w:bodyDiv w:val="1"/>
      <w:marLeft w:val="0"/>
      <w:marRight w:val="0"/>
      <w:marTop w:val="0"/>
      <w:marBottom w:val="0"/>
      <w:divBdr>
        <w:top w:val="none" w:sz="0" w:space="0" w:color="auto"/>
        <w:left w:val="none" w:sz="0" w:space="0" w:color="auto"/>
        <w:bottom w:val="none" w:sz="0" w:space="0" w:color="auto"/>
        <w:right w:val="none" w:sz="0" w:space="0" w:color="auto"/>
      </w:divBdr>
    </w:div>
    <w:div w:id="327443658">
      <w:bodyDiv w:val="1"/>
      <w:marLeft w:val="0"/>
      <w:marRight w:val="0"/>
      <w:marTop w:val="0"/>
      <w:marBottom w:val="0"/>
      <w:divBdr>
        <w:top w:val="none" w:sz="0" w:space="0" w:color="auto"/>
        <w:left w:val="none" w:sz="0" w:space="0" w:color="auto"/>
        <w:bottom w:val="none" w:sz="0" w:space="0" w:color="auto"/>
        <w:right w:val="none" w:sz="0" w:space="0" w:color="auto"/>
      </w:divBdr>
      <w:divsChild>
        <w:div w:id="1524367734">
          <w:marLeft w:val="0"/>
          <w:marRight w:val="0"/>
          <w:marTop w:val="0"/>
          <w:marBottom w:val="0"/>
          <w:divBdr>
            <w:top w:val="none" w:sz="0" w:space="0" w:color="auto"/>
            <w:left w:val="none" w:sz="0" w:space="0" w:color="auto"/>
            <w:bottom w:val="none" w:sz="0" w:space="0" w:color="auto"/>
            <w:right w:val="none" w:sz="0" w:space="0" w:color="auto"/>
          </w:divBdr>
          <w:divsChild>
            <w:div w:id="1443305072">
              <w:marLeft w:val="0"/>
              <w:marRight w:val="0"/>
              <w:marTop w:val="0"/>
              <w:marBottom w:val="0"/>
              <w:divBdr>
                <w:top w:val="none" w:sz="0" w:space="0" w:color="auto"/>
                <w:left w:val="none" w:sz="0" w:space="0" w:color="auto"/>
                <w:bottom w:val="none" w:sz="0" w:space="0" w:color="auto"/>
                <w:right w:val="none" w:sz="0" w:space="0" w:color="auto"/>
              </w:divBdr>
              <w:divsChild>
                <w:div w:id="344094217">
                  <w:marLeft w:val="0"/>
                  <w:marRight w:val="0"/>
                  <w:marTop w:val="0"/>
                  <w:marBottom w:val="0"/>
                  <w:divBdr>
                    <w:top w:val="none" w:sz="0" w:space="0" w:color="auto"/>
                    <w:left w:val="none" w:sz="0" w:space="0" w:color="auto"/>
                    <w:bottom w:val="none" w:sz="0" w:space="0" w:color="auto"/>
                    <w:right w:val="none" w:sz="0" w:space="0" w:color="auto"/>
                  </w:divBdr>
                  <w:divsChild>
                    <w:div w:id="1775587284">
                      <w:marLeft w:val="0"/>
                      <w:marRight w:val="180"/>
                      <w:marTop w:val="135"/>
                      <w:marBottom w:val="0"/>
                      <w:divBdr>
                        <w:top w:val="none" w:sz="0" w:space="0" w:color="auto"/>
                        <w:left w:val="none" w:sz="0" w:space="0" w:color="auto"/>
                        <w:bottom w:val="none" w:sz="0" w:space="0" w:color="auto"/>
                        <w:right w:val="none" w:sz="0" w:space="0" w:color="auto"/>
                      </w:divBdr>
                      <w:divsChild>
                        <w:div w:id="11975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293556">
      <w:bodyDiv w:val="1"/>
      <w:marLeft w:val="0"/>
      <w:marRight w:val="0"/>
      <w:marTop w:val="0"/>
      <w:marBottom w:val="0"/>
      <w:divBdr>
        <w:top w:val="none" w:sz="0" w:space="0" w:color="auto"/>
        <w:left w:val="none" w:sz="0" w:space="0" w:color="auto"/>
        <w:bottom w:val="none" w:sz="0" w:space="0" w:color="auto"/>
        <w:right w:val="none" w:sz="0" w:space="0" w:color="auto"/>
      </w:divBdr>
      <w:divsChild>
        <w:div w:id="1977834034">
          <w:marLeft w:val="0"/>
          <w:marRight w:val="0"/>
          <w:marTop w:val="0"/>
          <w:marBottom w:val="0"/>
          <w:divBdr>
            <w:top w:val="none" w:sz="0" w:space="0" w:color="auto"/>
            <w:left w:val="none" w:sz="0" w:space="0" w:color="auto"/>
            <w:bottom w:val="none" w:sz="0" w:space="0" w:color="auto"/>
            <w:right w:val="none" w:sz="0" w:space="0" w:color="auto"/>
          </w:divBdr>
          <w:divsChild>
            <w:div w:id="1568343413">
              <w:marLeft w:val="0"/>
              <w:marRight w:val="0"/>
              <w:marTop w:val="0"/>
              <w:marBottom w:val="0"/>
              <w:divBdr>
                <w:top w:val="none" w:sz="0" w:space="0" w:color="auto"/>
                <w:left w:val="none" w:sz="0" w:space="0" w:color="auto"/>
                <w:bottom w:val="none" w:sz="0" w:space="0" w:color="auto"/>
                <w:right w:val="none" w:sz="0" w:space="0" w:color="auto"/>
              </w:divBdr>
              <w:divsChild>
                <w:div w:id="1773430747">
                  <w:marLeft w:val="0"/>
                  <w:marRight w:val="0"/>
                  <w:marTop w:val="0"/>
                  <w:marBottom w:val="0"/>
                  <w:divBdr>
                    <w:top w:val="none" w:sz="0" w:space="0" w:color="auto"/>
                    <w:left w:val="none" w:sz="0" w:space="0" w:color="auto"/>
                    <w:bottom w:val="none" w:sz="0" w:space="0" w:color="auto"/>
                    <w:right w:val="none" w:sz="0" w:space="0" w:color="auto"/>
                  </w:divBdr>
                  <w:divsChild>
                    <w:div w:id="1097560992">
                      <w:marLeft w:val="0"/>
                      <w:marRight w:val="180"/>
                      <w:marTop w:val="135"/>
                      <w:marBottom w:val="0"/>
                      <w:divBdr>
                        <w:top w:val="none" w:sz="0" w:space="0" w:color="auto"/>
                        <w:left w:val="none" w:sz="0" w:space="0" w:color="auto"/>
                        <w:bottom w:val="none" w:sz="0" w:space="0" w:color="auto"/>
                        <w:right w:val="none" w:sz="0" w:space="0" w:color="auto"/>
                      </w:divBdr>
                      <w:divsChild>
                        <w:div w:id="16319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759528">
      <w:bodyDiv w:val="1"/>
      <w:marLeft w:val="0"/>
      <w:marRight w:val="0"/>
      <w:marTop w:val="0"/>
      <w:marBottom w:val="0"/>
      <w:divBdr>
        <w:top w:val="none" w:sz="0" w:space="0" w:color="auto"/>
        <w:left w:val="none" w:sz="0" w:space="0" w:color="auto"/>
        <w:bottom w:val="none" w:sz="0" w:space="0" w:color="auto"/>
        <w:right w:val="none" w:sz="0" w:space="0" w:color="auto"/>
      </w:divBdr>
    </w:div>
    <w:div w:id="18292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VERKOL~1\LOKALE~1\TEMP\aenderungsan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0968-13F1-49C2-894F-744CDDD7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aenderungsantrag.dot</Template>
  <TotalTime>0</TotalTime>
  <Pages>3</Pages>
  <Words>1079</Words>
  <Characters>7476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Deutscher Bundestag</vt:lpstr>
    </vt:vector>
  </TitlesOfParts>
  <Company>Parlakom</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Deutscher Bundestag</dc:title>
  <dc:subject/>
  <dc:creator>PARLAKOM</dc:creator>
  <cp:keywords/>
  <cp:lastModifiedBy>Dr. Thomas Hohlfeld</cp:lastModifiedBy>
  <cp:revision>12</cp:revision>
  <cp:lastPrinted>2012-10-19T13:28:00Z</cp:lastPrinted>
  <dcterms:created xsi:type="dcterms:W3CDTF">2016-09-12T15:05:00Z</dcterms:created>
  <dcterms:modified xsi:type="dcterms:W3CDTF">2016-09-23T07:33:00Z</dcterms:modified>
</cp:coreProperties>
</file>